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w:t>
      </w:r>
      <w:r>
        <w:rPr>
          <w:rFonts w:hint="eastAsia" w:ascii="Arial" w:hAnsi="Arial" w:cs="Arial"/>
          <w:b/>
          <w:bCs/>
          <w:snapToGrid w:val="0"/>
          <w:kern w:val="0"/>
          <w:sz w:val="28"/>
          <w:szCs w:val="28"/>
        </w:rPr>
        <w:t>3bis</w:t>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rPr>
        <w:t>R2-1814031</w:t>
      </w:r>
    </w:p>
    <w:p>
      <w:pPr>
        <w:overflowPunct w:val="0"/>
        <w:autoSpaceDE w:val="0"/>
        <w:autoSpaceDN w:val="0"/>
        <w:adjustRightInd w:val="0"/>
        <w:snapToGrid w:val="0"/>
        <w:jc w:val="left"/>
        <w:textAlignment w:val="baseline"/>
        <w:rPr>
          <w:rFonts w:ascii="Arial" w:hAnsi="Arial" w:cs="Arial"/>
          <w:b/>
          <w:bCs/>
          <w:kern w:val="0"/>
          <w:sz w:val="28"/>
          <w:szCs w:val="28"/>
        </w:rPr>
      </w:pPr>
      <w:r>
        <w:rPr>
          <w:rFonts w:hint="eastAsia" w:ascii="Arial" w:hAnsi="Arial" w:cs="Arial"/>
          <w:b/>
          <w:bCs/>
          <w:kern w:val="0"/>
          <w:sz w:val="28"/>
          <w:szCs w:val="28"/>
        </w:rPr>
        <w:t>China</w:t>
      </w:r>
      <w:r>
        <w:rPr>
          <w:rFonts w:ascii="Arial" w:hAnsi="Arial" w:cs="Arial"/>
          <w:b/>
          <w:bCs/>
          <w:kern w:val="0"/>
          <w:sz w:val="28"/>
          <w:szCs w:val="28"/>
          <w:lang w:val="en-GB"/>
        </w:rPr>
        <w:t xml:space="preserve">, </w:t>
      </w:r>
      <w:r>
        <w:rPr>
          <w:rFonts w:hint="eastAsia" w:ascii="Arial" w:hAnsi="Arial" w:cs="Arial"/>
          <w:b/>
          <w:bCs/>
          <w:kern w:val="0"/>
          <w:sz w:val="28"/>
          <w:szCs w:val="28"/>
        </w:rPr>
        <w:t>Chengdu</w:t>
      </w:r>
      <w:r>
        <w:rPr>
          <w:rFonts w:ascii="Arial" w:hAnsi="Arial" w:cs="Arial"/>
          <w:b/>
          <w:bCs/>
          <w:kern w:val="0"/>
          <w:sz w:val="28"/>
          <w:szCs w:val="28"/>
          <w:lang w:val="en-GB"/>
        </w:rPr>
        <w:t xml:space="preserve">, </w:t>
      </w:r>
      <w:r>
        <w:rPr>
          <w:rFonts w:hint="eastAsia" w:ascii="Arial" w:hAnsi="Arial" w:cs="Arial"/>
          <w:b/>
          <w:bCs/>
          <w:kern w:val="0"/>
          <w:sz w:val="28"/>
          <w:szCs w:val="28"/>
        </w:rPr>
        <w:t>8</w:t>
      </w:r>
      <w:r>
        <w:rPr>
          <w:rFonts w:ascii="Arial" w:hAnsi="Arial" w:cs="Arial"/>
          <w:b/>
          <w:bCs/>
          <w:kern w:val="0"/>
          <w:sz w:val="28"/>
          <w:szCs w:val="28"/>
          <w:lang w:val="en-GB"/>
        </w:rPr>
        <w:t xml:space="preserve"> – </w:t>
      </w:r>
      <w:r>
        <w:rPr>
          <w:rFonts w:hint="eastAsia" w:ascii="Arial" w:hAnsi="Arial" w:cs="Arial"/>
          <w:b/>
          <w:bCs/>
          <w:kern w:val="0"/>
          <w:sz w:val="28"/>
          <w:szCs w:val="28"/>
        </w:rPr>
        <w:t>12</w:t>
      </w:r>
      <w:r>
        <w:rPr>
          <w:rFonts w:ascii="Arial" w:hAnsi="Arial" w:cs="Arial"/>
          <w:b/>
          <w:bCs/>
          <w:kern w:val="0"/>
          <w:sz w:val="28"/>
          <w:szCs w:val="28"/>
          <w:lang w:val="en-GB"/>
        </w:rPr>
        <w:t xml:space="preserve"> </w:t>
      </w:r>
      <w:r>
        <w:rPr>
          <w:rFonts w:hint="eastAsia" w:ascii="Arial" w:hAnsi="Arial" w:cs="Arial"/>
          <w:b/>
          <w:bCs/>
          <w:kern w:val="0"/>
          <w:sz w:val="28"/>
          <w:szCs w:val="28"/>
        </w:rPr>
        <w:t>October</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r>
        <w:rPr>
          <w:rFonts w:hint="eastAsia" w:ascii="Arial" w:hAnsi="Arial" w:cs="Arial"/>
          <w:b/>
          <w:bCs/>
          <w:snapToGrid w:val="0"/>
          <w:kern w:val="0"/>
          <w:sz w:val="28"/>
          <w:szCs w:val="28"/>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Challenge on the paging performance in NTN</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0" w:name="Source"/>
      <w:bookmarkEnd w:id="0"/>
      <w:r>
        <w:rPr>
          <w:rFonts w:hint="eastAsia" w:ascii="Arial" w:hAnsi="Arial" w:cs="Arial"/>
          <w:b/>
          <w:bCs/>
          <w:snapToGrid w:val="0"/>
          <w:kern w:val="0"/>
          <w:sz w:val="28"/>
          <w:szCs w:val="28"/>
        </w:rPr>
        <w:t>11.6</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1" w:name="DocumentFor"/>
      <w:bookmarkEnd w:id="1"/>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 xml:space="preserve">A new SI for Non Terrestrial Networks has been agreed in RP-181370 to </w:t>
      </w:r>
      <w:r>
        <w:rPr>
          <w:bCs/>
        </w:rPr>
        <w:t>study a set of necessary features/adaptations enabling the operation of NR protocol in non-terrestrial networks for 3GPP Release 16 with a priority on satellite access.</w:t>
      </w:r>
      <w:r>
        <w:rPr>
          <w:rFonts w:hint="eastAsia"/>
          <w:bCs/>
        </w:rPr>
        <w:t xml:space="preserve"> And the intention of this contribution is to share some views about the challenges on the paging capacity for NTN.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pPr>
        <w:rPr>
          <w:rFonts w:eastAsia="宋体"/>
          <w:b/>
          <w:bCs/>
          <w:u w:val="single"/>
        </w:rPr>
      </w:pPr>
      <w:r>
        <w:rPr>
          <w:rFonts w:hint="eastAsia" w:eastAsia="宋体"/>
          <w:b/>
          <w:bCs/>
          <w:u w:val="single"/>
        </w:rPr>
        <w:t>Requirement of paging capacity in NTN</w:t>
      </w:r>
    </w:p>
    <w:p>
      <w:pPr>
        <w:rPr>
          <w:rFonts w:eastAsia="宋体"/>
        </w:rPr>
      </w:pPr>
      <w:r>
        <w:rPr>
          <w:rFonts w:hint="eastAsia" w:eastAsia="宋体"/>
        </w:rPr>
        <w:t>The requirement of paging capacity for one TA is mainly estimated by the following factors:</w:t>
      </w:r>
    </w:p>
    <w:p>
      <w:pPr>
        <w:numPr>
          <w:ilvl w:val="0"/>
          <w:numId w:val="4"/>
        </w:numPr>
        <w:rPr>
          <w:rFonts w:eastAsia="宋体"/>
        </w:rPr>
      </w:pPr>
      <w:r>
        <w:rPr>
          <w:rFonts w:hint="eastAsia" w:eastAsia="宋体"/>
        </w:rPr>
        <w:t>Coverage</w:t>
      </w:r>
    </w:p>
    <w:p>
      <w:pPr>
        <w:numPr>
          <w:ilvl w:val="0"/>
          <w:numId w:val="4"/>
        </w:numPr>
        <w:rPr>
          <w:rFonts w:eastAsia="宋体"/>
        </w:rPr>
      </w:pPr>
      <w:r>
        <w:rPr>
          <w:rFonts w:hint="eastAsia" w:eastAsia="宋体"/>
        </w:rPr>
        <w:t>User density</w:t>
      </w:r>
    </w:p>
    <w:p>
      <w:pPr>
        <w:numPr>
          <w:ilvl w:val="0"/>
          <w:numId w:val="4"/>
        </w:numPr>
        <w:rPr>
          <w:rFonts w:eastAsia="宋体"/>
        </w:rPr>
      </w:pPr>
      <w:r>
        <w:rPr>
          <w:rFonts w:hint="eastAsia" w:eastAsia="宋体"/>
        </w:rPr>
        <w:t>Per UE paging requirement</w:t>
      </w:r>
    </w:p>
    <w:p>
      <w:pPr>
        <w:rPr>
          <w:rFonts w:eastAsia="宋体"/>
        </w:rPr>
      </w:pPr>
    </w:p>
    <w:p>
      <w:pPr>
        <w:rPr>
          <w:rFonts w:eastAsia="宋体"/>
        </w:rPr>
      </w:pPr>
      <w:r>
        <w:rPr>
          <w:rFonts w:hint="eastAsia" w:eastAsia="宋体"/>
        </w:rPr>
        <w:t xml:space="preserve">For the coverage, in the TR 38.811, the description about the beam foot print size of </w:t>
      </w:r>
      <w:r>
        <w:rPr>
          <w:rFonts w:hint="eastAsia"/>
        </w:rPr>
        <w:t>s</w:t>
      </w:r>
      <w:r>
        <w:t xml:space="preserve">atellite </w:t>
      </w:r>
      <w:r>
        <w:rPr>
          <w:rFonts w:hint="eastAsia" w:eastAsia="宋体"/>
        </w:rPr>
        <w:t>can be found as follow</w:t>
      </w:r>
      <w:r>
        <w:rPr>
          <w:rFonts w:eastAsia="宋体"/>
        </w:rPr>
        <w:t>s</w:t>
      </w:r>
      <w:r>
        <w:rPr>
          <w:rFonts w:hint="eastAsia" w:eastAsia="宋体"/>
        </w:rPr>
        <w:t>:</w:t>
      </w:r>
    </w:p>
    <w:p>
      <w:pPr>
        <w:rPr>
          <w:rFonts w:eastAsia="宋体"/>
        </w:rPr>
      </w:pPr>
      <w:r>
        <w:rPr>
          <w:rFonts w:hint="eastAsia" w:eastAsia="宋体"/>
        </w:rPr>
        <w:t>--------------------------------------------------- From 38.811 Start -----------------------------------------------------</w:t>
      </w:r>
    </w:p>
    <w:p>
      <w:pPr>
        <w:pStyle w:val="95"/>
        <w:ind w:left="0" w:firstLine="0"/>
        <w:jc w:val="both"/>
        <w:rPr>
          <w:sz w:val="22"/>
          <w:szCs w:val="22"/>
          <w:lang w:eastAsia="zh-CN"/>
        </w:rPr>
      </w:pPr>
      <w:bookmarkStart w:id="2" w:name="_Toc494837625"/>
      <w:bookmarkStart w:id="3" w:name="_Toc516793145"/>
      <w:bookmarkStart w:id="4" w:name="_Toc509391305"/>
      <w:bookmarkStart w:id="5" w:name="_Toc509391541"/>
      <w:bookmarkStart w:id="6" w:name="_Toc509391452"/>
      <w:bookmarkStart w:id="7" w:name="_Toc509391618"/>
      <w:bookmarkStart w:id="8" w:name="_Toc509391700"/>
      <w:bookmarkStart w:id="9" w:name="_Toc509392155"/>
      <w:r>
        <w:rPr>
          <w:sz w:val="22"/>
          <w:szCs w:val="22"/>
          <w:lang w:eastAsia="zh-CN"/>
        </w:rPr>
        <w:t>4.6</w:t>
      </w:r>
      <w:r>
        <w:rPr>
          <w:sz w:val="22"/>
          <w:szCs w:val="22"/>
          <w:lang w:eastAsia="zh-CN"/>
        </w:rPr>
        <w:tab/>
      </w:r>
      <w:r>
        <w:rPr>
          <w:sz w:val="22"/>
          <w:szCs w:val="22"/>
          <w:lang w:eastAsia="zh-CN"/>
        </w:rPr>
        <w:t>Coverage pattern of NTN</w:t>
      </w:r>
      <w:bookmarkEnd w:id="2"/>
      <w:bookmarkEnd w:id="3"/>
      <w:bookmarkEnd w:id="4"/>
      <w:bookmarkEnd w:id="5"/>
      <w:bookmarkEnd w:id="6"/>
      <w:bookmarkEnd w:id="7"/>
      <w:bookmarkEnd w:id="8"/>
      <w:bookmarkEnd w:id="9"/>
    </w:p>
    <w:p>
      <w:pPr>
        <w:pStyle w:val="95"/>
        <w:ind w:left="0" w:firstLine="0"/>
        <w:jc w:val="both"/>
        <w:rPr>
          <w:lang w:eastAsia="zh-CN"/>
        </w:rPr>
      </w:pPr>
      <w:r>
        <w:rPr>
          <w:lang w:eastAsia="zh-CN"/>
        </w:rPr>
        <w:t>Satellite or aerial vehicles typically generate several beams over a given area. The foot print of the beams are typically elliptic shape.</w:t>
      </w:r>
    </w:p>
    <w:p>
      <w:pPr>
        <w:pStyle w:val="95"/>
        <w:ind w:left="0" w:firstLine="0"/>
        <w:jc w:val="both"/>
        <w:rPr>
          <w:lang w:eastAsia="zh-CN"/>
        </w:rPr>
      </w:pPr>
      <w:r>
        <w:rPr>
          <w:lang w:eastAsia="zh-CN"/>
        </w:rPr>
        <w:t>The beam footprint may be moving over the earth with the satellite or the aerial vehicle motion on its orbit. Alternatively, the beam foot print may be earth fixed, in such case some beam pointing mechanisms (mechanical or electronic steering feature) will compensate for the satellite or the aerial vehicle motion.</w:t>
      </w:r>
    </w:p>
    <w:p>
      <w:pPr>
        <w:pStyle w:val="89"/>
      </w:pPr>
      <w:r>
        <w:t>Table 4.6-1: Typical beam foot print size</w:t>
      </w:r>
    </w:p>
    <w:tbl>
      <w:tblPr>
        <w:tblStyle w:val="65"/>
        <w:tblW w:w="64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99"/>
        <w:gridCol w:w="1634"/>
        <w:gridCol w:w="1633"/>
        <w:gridCol w:w="1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tcMar>
              <w:top w:w="0" w:type="dxa"/>
              <w:left w:w="108" w:type="dxa"/>
              <w:bottom w:w="0" w:type="dxa"/>
              <w:right w:w="108" w:type="dxa"/>
            </w:tcMar>
            <w:vAlign w:val="center"/>
          </w:tcPr>
          <w:p>
            <w:pPr>
              <w:pStyle w:val="200"/>
              <w:rPr>
                <w:rFonts w:eastAsia="Malgun Gothic"/>
              </w:rPr>
            </w:pPr>
            <w:r>
              <w:rPr>
                <w:rFonts w:eastAsia="Malgun Gothic"/>
              </w:rPr>
              <w:t>Attributes</w:t>
            </w:r>
          </w:p>
        </w:tc>
        <w:tc>
          <w:tcPr>
            <w:tcW w:w="1634" w:type="dxa"/>
            <w:vAlign w:val="center"/>
          </w:tcPr>
          <w:p>
            <w:pPr>
              <w:pStyle w:val="200"/>
              <w:rPr>
                <w:rFonts w:eastAsia="Malgun Gothic"/>
              </w:rPr>
            </w:pPr>
            <w:r>
              <w:rPr>
                <w:rFonts w:eastAsia="Malgun Gothic"/>
              </w:rPr>
              <w:t>GEO</w:t>
            </w:r>
          </w:p>
        </w:tc>
        <w:tc>
          <w:tcPr>
            <w:tcW w:w="1633" w:type="dxa"/>
            <w:vAlign w:val="center"/>
          </w:tcPr>
          <w:p>
            <w:pPr>
              <w:pStyle w:val="200"/>
              <w:rPr>
                <w:rFonts w:eastAsia="Malgun Gothic"/>
              </w:rPr>
            </w:pPr>
            <w:r>
              <w:rPr>
                <w:rFonts w:eastAsia="Malgun Gothic"/>
              </w:rPr>
              <w:t>Non-GEO</w:t>
            </w:r>
          </w:p>
        </w:tc>
        <w:tc>
          <w:tcPr>
            <w:tcW w:w="1626" w:type="dxa"/>
            <w:vAlign w:val="center"/>
          </w:tcPr>
          <w:p>
            <w:pPr>
              <w:pStyle w:val="200"/>
              <w:rPr>
                <w:rFonts w:eastAsia="Malgun Gothic"/>
              </w:rPr>
            </w:pPr>
            <w:r>
              <w:rPr>
                <w:rFonts w:eastAsia="Malgun Gothic"/>
              </w:rPr>
              <w:t>Aerial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0" w:hRule="atLeast"/>
          <w:jc w:val="center"/>
        </w:trPr>
        <w:tc>
          <w:tcPr>
            <w:tcW w:w="1599" w:type="dxa"/>
            <w:shd w:val="clear" w:color="auto" w:fill="FFFFFF"/>
            <w:tcMar>
              <w:top w:w="0" w:type="dxa"/>
              <w:left w:w="108" w:type="dxa"/>
              <w:bottom w:w="0" w:type="dxa"/>
              <w:right w:w="108" w:type="dxa"/>
            </w:tcMar>
          </w:tcPr>
          <w:p>
            <w:pPr>
              <w:pStyle w:val="105"/>
            </w:pPr>
            <w:r>
              <w:t>Beam foot print size in diameter</w:t>
            </w:r>
          </w:p>
        </w:tc>
        <w:tc>
          <w:tcPr>
            <w:tcW w:w="1634" w:type="dxa"/>
            <w:shd w:val="clear" w:color="auto" w:fill="FFFFFF"/>
          </w:tcPr>
          <w:p>
            <w:pPr>
              <w:pStyle w:val="105"/>
              <w:jc w:val="center"/>
            </w:pPr>
            <w:r>
              <w:t>200 – 1000 km</w:t>
            </w:r>
          </w:p>
        </w:tc>
        <w:tc>
          <w:tcPr>
            <w:tcW w:w="1633" w:type="dxa"/>
            <w:shd w:val="clear" w:color="auto" w:fill="FFFFFF"/>
          </w:tcPr>
          <w:p>
            <w:pPr>
              <w:pStyle w:val="105"/>
              <w:jc w:val="center"/>
            </w:pPr>
            <w:r>
              <w:t>100 – 500 km</w:t>
            </w:r>
          </w:p>
        </w:tc>
        <w:tc>
          <w:tcPr>
            <w:tcW w:w="1626" w:type="dxa"/>
            <w:shd w:val="clear" w:color="auto" w:fill="FFFFFF"/>
          </w:tcPr>
          <w:p>
            <w:pPr>
              <w:pStyle w:val="105"/>
              <w:jc w:val="center"/>
            </w:pPr>
            <w:r>
              <w:t>5 - 200 km</w:t>
            </w:r>
          </w:p>
        </w:tc>
      </w:tr>
    </w:tbl>
    <w:p>
      <w:pPr>
        <w:rPr>
          <w:rFonts w:eastAsia="宋体"/>
        </w:rPr>
      </w:pPr>
    </w:p>
    <w:p>
      <w:pPr>
        <w:rPr>
          <w:rFonts w:eastAsia="宋体"/>
        </w:rPr>
      </w:pPr>
      <w:r>
        <w:rPr>
          <w:rFonts w:hint="eastAsia" w:eastAsia="宋体"/>
        </w:rPr>
        <w:t>--------------------------------------------------- From 38.811 End -----------------------------------------------------</w:t>
      </w:r>
    </w:p>
    <w:p>
      <w:pPr>
        <w:rPr>
          <w:rFonts w:eastAsia="宋体"/>
        </w:rPr>
      </w:pPr>
      <w:r>
        <w:rPr>
          <w:rFonts w:hint="eastAsia" w:eastAsia="宋体"/>
        </w:rPr>
        <w:t>Based on the description above, it can be observed that the coverage of one satellite beam is much larger than the typical coverage of one NR Terrestrial cell.</w:t>
      </w:r>
    </w:p>
    <w:p>
      <w:pPr>
        <w:rPr>
          <w:rFonts w:eastAsia="宋体"/>
          <w:b/>
          <w:bCs/>
        </w:rPr>
      </w:pPr>
      <w:r>
        <w:rPr>
          <w:rFonts w:hint="eastAsia" w:eastAsia="宋体"/>
          <w:b/>
          <w:bCs/>
        </w:rPr>
        <w:t>Observation 1: The typical beam foot print size is 200-1000km (i.e. the coverage is about 31416km</w:t>
      </w:r>
      <w:r>
        <w:rPr>
          <w:rFonts w:hint="eastAsia" w:eastAsia="宋体"/>
          <w:b/>
          <w:bCs/>
          <w:vertAlign w:val="superscript"/>
        </w:rPr>
        <w:t>2</w:t>
      </w:r>
      <w:r>
        <w:rPr>
          <w:rFonts w:hint="eastAsia" w:eastAsia="宋体"/>
          <w:b/>
          <w:bCs/>
        </w:rPr>
        <w:t xml:space="preserve"> - 785398km</w:t>
      </w:r>
      <w:r>
        <w:rPr>
          <w:rFonts w:hint="eastAsia" w:eastAsia="宋体"/>
          <w:b/>
          <w:bCs/>
          <w:vertAlign w:val="superscript"/>
        </w:rPr>
        <w:t>2</w:t>
      </w:r>
      <w:r>
        <w:rPr>
          <w:rFonts w:hint="eastAsia" w:eastAsia="宋体"/>
          <w:b/>
          <w:bCs/>
        </w:rPr>
        <w:t>) for GEO and 100-500km (i.e. the coverage is about 7854km</w:t>
      </w:r>
      <w:r>
        <w:rPr>
          <w:rFonts w:hint="eastAsia" w:eastAsia="宋体"/>
          <w:b/>
          <w:bCs/>
          <w:vertAlign w:val="superscript"/>
        </w:rPr>
        <w:t>2</w:t>
      </w:r>
      <w:r>
        <w:rPr>
          <w:rFonts w:hint="eastAsia" w:eastAsia="宋体"/>
          <w:b/>
          <w:bCs/>
        </w:rPr>
        <w:t xml:space="preserve"> - 196350km</w:t>
      </w:r>
      <w:r>
        <w:rPr>
          <w:rFonts w:hint="eastAsia" w:eastAsia="宋体"/>
          <w:b/>
          <w:bCs/>
          <w:vertAlign w:val="superscript"/>
        </w:rPr>
        <w:t>2</w:t>
      </w:r>
      <w:r>
        <w:rPr>
          <w:rFonts w:hint="eastAsia" w:eastAsia="宋体"/>
          <w:b/>
          <w:bCs/>
        </w:rPr>
        <w:t>) for Non-GEO, which is much larger than the typical coverage of NR Terrestrial cell.</w:t>
      </w:r>
    </w:p>
    <w:p>
      <w:pPr>
        <w:rPr>
          <w:rFonts w:eastAsia="宋体"/>
        </w:rPr>
      </w:pPr>
      <w:r>
        <w:rPr>
          <w:rFonts w:hint="eastAsia" w:eastAsia="宋体"/>
        </w:rPr>
        <w:t xml:space="preserve">Besides the coverage, to evaluate the requirement on paging capacity, the information about the User density and the traffic/Service model expected to be supported in NTN are also required. For the traffic/service model, some use case have already been identified in TR 38.811, and it seems the NTN intent to support both the eMBB (enhanced Mobile Broadband), and mMTC (massive Machine Type Communications). For the mMTC, as shown in the table as follow, it is clearly specified that the Wide area IoT service needed to be supported in NTN, including the </w:t>
      </w:r>
      <w:r>
        <w:rPr>
          <w:rFonts w:eastAsia="宋体"/>
        </w:rPr>
        <w:t>“</w:t>
      </w:r>
      <w:r>
        <w:rPr>
          <w:rFonts w:hint="eastAsia" w:eastAsia="宋体"/>
        </w:rPr>
        <w:t>connectivity between IoT devices (battery activated sensors/actuators or not) and spaceborne platform</w:t>
      </w:r>
      <w:r>
        <w:rPr>
          <w:rFonts w:eastAsia="宋体"/>
        </w:rPr>
        <w:t>”</w:t>
      </w:r>
      <w:r>
        <w:rPr>
          <w:rFonts w:hint="eastAsia" w:eastAsia="宋体"/>
        </w:rPr>
        <w:t xml:space="preserve"> and </w:t>
      </w:r>
      <w:r>
        <w:rPr>
          <w:rFonts w:eastAsia="宋体"/>
        </w:rPr>
        <w:t>“</w:t>
      </w:r>
      <w:r>
        <w:rPr>
          <w:rFonts w:hint="eastAsia" w:eastAsia="宋体"/>
        </w:rPr>
        <w:t>the continuity of service across spaceborne platforms and terrestrial base stations</w:t>
      </w:r>
      <w:r>
        <w:rPr>
          <w:rFonts w:eastAsia="宋体"/>
        </w:rPr>
        <w:t>”</w:t>
      </w:r>
      <w:r>
        <w:rPr>
          <w:rFonts w:hint="eastAsia" w:eastAsia="宋体"/>
        </w:rPr>
        <w:t xml:space="preserve">. </w:t>
      </w:r>
    </w:p>
    <w:p>
      <w:r>
        <w:rPr>
          <w:rFonts w:hint="eastAsia"/>
        </w:rPr>
        <w:t>------------------------------------------------- From 38.811 -----------------------------------------------------------</w:t>
      </w:r>
    </w:p>
    <w:tbl>
      <w:tblPr>
        <w:tblStyle w:val="65"/>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
        <w:gridCol w:w="1374"/>
        <w:gridCol w:w="3898"/>
        <w:gridCol w:w="233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3" w:hRule="atLeast"/>
        </w:trPr>
        <w:tc>
          <w:tcPr>
            <w:tcW w:w="857"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
                <w:sz w:val="18"/>
                <w:szCs w:val="18"/>
              </w:rPr>
            </w:pPr>
            <w:r>
              <w:rPr>
                <w:rFonts w:ascii="Arial" w:hAnsi="Arial" w:cs="Arial"/>
                <w:b/>
                <w:sz w:val="18"/>
                <w:szCs w:val="18"/>
              </w:rPr>
              <w:t>mMTC</w:t>
            </w:r>
          </w:p>
        </w:tc>
        <w:tc>
          <w:tcPr>
            <w:tcW w:w="1374"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b/>
                <w:sz w:val="18"/>
                <w:szCs w:val="18"/>
              </w:rPr>
            </w:pPr>
            <w:r>
              <w:rPr>
                <w:rFonts w:ascii="Arial" w:hAnsi="Arial" w:cs="Arial"/>
                <w:b/>
                <w:sz w:val="18"/>
                <w:szCs w:val="18"/>
              </w:rPr>
              <w:t>Wide area IoT service</w:t>
            </w:r>
          </w:p>
        </w:tc>
        <w:tc>
          <w:tcPr>
            <w:tcW w:w="3898"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8"/>
                <w:szCs w:val="18"/>
              </w:rPr>
            </w:pPr>
            <w:r>
              <w:rPr>
                <w:rFonts w:ascii="Arial" w:hAnsi="Arial" w:cs="Arial"/>
                <w:sz w:val="18"/>
                <w:szCs w:val="18"/>
              </w:rPr>
              <w:t>Global continuity of service for telematic applications based on a group of sensors/actuators (IoT devices, battery activated or not) scattered over or moving around a wide area and reporting information to or controlled by a central server.</w:t>
            </w:r>
          </w:p>
          <w:p>
            <w:pPr>
              <w:rPr>
                <w:rFonts w:ascii="Arial" w:hAnsi="Arial" w:cs="Arial"/>
                <w:sz w:val="18"/>
                <w:szCs w:val="18"/>
              </w:rPr>
            </w:pPr>
            <w:r>
              <w:rPr>
                <w:rFonts w:ascii="Arial" w:hAnsi="Arial" w:cs="Arial"/>
                <w:sz w:val="18"/>
                <w:szCs w:val="18"/>
              </w:rPr>
              <w:t>These sensors and/or actuators may be used for example the following telematics applications:</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Automotive and road transport: high density platooning, HD map updates, Traffic flow optimisation, Vehicle software updates, automotive diagnostic reporting, user base insurance information (e.g. speed limit, driving behaviour), safety status reporting (e.g. air-bag deployment reporting), advertising based revenue, Context awareness information (e.g. neighbouring bargain opportunities based on revenue), remote access functions (e.g. remote door unlocking).</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 xml:space="preserve">Energy: Critical surveillance of oil/gas infrastructures (e.g. pipeline status) </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Transport: Fleet management, asset tracking, digital signage, remote road alerts</w:t>
            </w:r>
          </w:p>
          <w:p>
            <w:pPr>
              <w:pStyle w:val="68"/>
              <w:numPr>
                <w:ilvl w:val="0"/>
                <w:numId w:val="5"/>
              </w:numPr>
              <w:spacing w:after="0" w:line="240" w:lineRule="auto"/>
              <w:ind w:firstLine="360"/>
              <w:rPr>
                <w:rFonts w:ascii="Arial" w:hAnsi="Arial" w:cs="Arial"/>
                <w:sz w:val="18"/>
                <w:szCs w:val="18"/>
              </w:rPr>
            </w:pPr>
            <w:r>
              <w:rPr>
                <w:rFonts w:ascii="Arial" w:hAnsi="Arial" w:cs="Arial"/>
                <w:sz w:val="18"/>
                <w:szCs w:val="18"/>
              </w:rPr>
              <w:t xml:space="preserve">Agriculture: Livestock management, farming </w:t>
            </w:r>
          </w:p>
          <w:p>
            <w:pPr>
              <w:rPr>
                <w:rFonts w:ascii="Arial" w:hAnsi="Arial" w:cs="Arial"/>
                <w:sz w:val="18"/>
                <w:szCs w:val="18"/>
              </w:rPr>
            </w:pPr>
          </w:p>
        </w:tc>
        <w:tc>
          <w:tcPr>
            <w:tcW w:w="2335"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8"/>
                <w:szCs w:val="18"/>
                <w:highlight w:val="yellow"/>
              </w:rPr>
            </w:pPr>
            <w:r>
              <w:rPr>
                <w:rFonts w:ascii="Arial" w:hAnsi="Arial" w:cs="Arial"/>
                <w:iCs/>
                <w:sz w:val="18"/>
                <w:szCs w:val="18"/>
              </w:rPr>
              <w:t xml:space="preserve">Connectivity between IoT devices (battery activated sensors/actuators or not) and </w:t>
            </w:r>
            <w:r>
              <w:rPr>
                <w:rFonts w:ascii="Arial" w:hAnsi="Arial" w:cs="Arial"/>
                <w:sz w:val="18"/>
                <w:szCs w:val="18"/>
              </w:rPr>
              <w:t>spaceborne platform. Continuity of service across spaceborne platforms and terrestrial base stations is needed.</w:t>
            </w:r>
          </w:p>
        </w:tc>
        <w:tc>
          <w:tcPr>
            <w:tcW w:w="1393" w:type="dxa"/>
            <w:tcBorders>
              <w:left w:val="single" w:color="auto" w:sz="4" w:space="0"/>
            </w:tcBorders>
            <w:shd w:val="clear" w:color="auto" w:fill="auto"/>
          </w:tcPr>
          <w:p>
            <w:pPr>
              <w:rPr>
                <w:iCs/>
              </w:rPr>
            </w:pPr>
            <w:r>
              <w:rPr>
                <w:iCs/>
              </w:rPr>
              <w:t>TR 22.861, §5.2: connectivity aspects</w:t>
            </w:r>
          </w:p>
          <w:p>
            <w:pPr>
              <w:rPr>
                <w:iCs/>
              </w:rPr>
            </w:pPr>
            <w:r>
              <w:rPr>
                <w:iCs/>
              </w:rPr>
              <w:t>TR 22.864, §5.6: Access</w:t>
            </w:r>
          </w:p>
          <w:p>
            <w:pPr>
              <w:rPr>
                <w:iCs/>
              </w:rPr>
            </w:pPr>
            <w:r>
              <w:rPr>
                <w:iCs/>
              </w:rPr>
              <w:t>TR 22.862, §5.1: Higher reliability and lower latency</w:t>
            </w:r>
          </w:p>
          <w:p>
            <w:pPr>
              <w:rPr>
                <w:iCs/>
              </w:rPr>
            </w:pPr>
            <w:r>
              <w:rPr>
                <w:iCs/>
              </w:rPr>
              <w:t>TS 22.261 (related to §6.2.3 Service continuity acriss different access technologies)</w:t>
            </w:r>
          </w:p>
        </w:tc>
      </w:tr>
    </w:tbl>
    <w:p/>
    <w:p>
      <w:r>
        <w:rPr>
          <w:rFonts w:hint="eastAsia"/>
        </w:rPr>
        <w:t>------------------------------------------------- From 38.811 -----------------------------------------------------------</w:t>
      </w:r>
    </w:p>
    <w:p>
      <w:pPr>
        <w:rPr>
          <w:color w:val="000000"/>
        </w:rPr>
      </w:pPr>
      <w:r>
        <w:rPr>
          <w:rFonts w:hint="eastAsia" w:eastAsia="宋体"/>
        </w:rPr>
        <w:t xml:space="preserve">Based on the information above, it seems we can not assume the </w:t>
      </w:r>
      <w:r>
        <w:rPr>
          <w:rFonts w:hint="eastAsia" w:eastAsia="宋体"/>
          <w:color w:val="000000"/>
        </w:rPr>
        <w:t xml:space="preserve">UE </w:t>
      </w:r>
      <w:r>
        <w:rPr>
          <w:color w:val="000000"/>
        </w:rPr>
        <w:t>density</w:t>
      </w:r>
      <w:r>
        <w:rPr>
          <w:rFonts w:hint="eastAsia"/>
          <w:color w:val="000000"/>
        </w:rPr>
        <w:t xml:space="preserve"> in NTN is always low.</w:t>
      </w:r>
    </w:p>
    <w:p>
      <w:pPr>
        <w:rPr>
          <w:b/>
          <w:bCs/>
          <w:color w:val="000000"/>
        </w:rPr>
      </w:pPr>
      <w:r>
        <w:rPr>
          <w:rFonts w:hint="eastAsia"/>
          <w:b/>
          <w:bCs/>
          <w:color w:val="000000"/>
        </w:rPr>
        <w:t xml:space="preserve">Observation 2: Since the NTN is expected to support both the eMBB and mMTC services, it </w:t>
      </w:r>
      <w:r>
        <w:rPr>
          <w:rFonts w:hint="eastAsia" w:eastAsia="宋体"/>
          <w:b/>
          <w:bCs/>
        </w:rPr>
        <w:t xml:space="preserve">seems we can not assume the </w:t>
      </w:r>
      <w:r>
        <w:rPr>
          <w:rFonts w:hint="eastAsia" w:eastAsia="宋体"/>
          <w:b/>
          <w:bCs/>
          <w:color w:val="000000"/>
        </w:rPr>
        <w:t xml:space="preserve">UE </w:t>
      </w:r>
      <w:r>
        <w:rPr>
          <w:b/>
          <w:bCs/>
          <w:color w:val="000000"/>
        </w:rPr>
        <w:t>density</w:t>
      </w:r>
      <w:r>
        <w:rPr>
          <w:rFonts w:hint="eastAsia"/>
          <w:b/>
          <w:bCs/>
          <w:color w:val="000000"/>
        </w:rPr>
        <w:t xml:space="preserve"> in NTN is always low.</w:t>
      </w:r>
    </w:p>
    <w:p>
      <w:pPr>
        <w:rPr>
          <w:rFonts w:eastAsia="宋体"/>
        </w:rPr>
      </w:pPr>
      <w:r>
        <w:rPr>
          <w:rFonts w:hint="eastAsia" w:eastAsia="宋体"/>
        </w:rPr>
        <w:t>Since the user density is a key input for the evaluation of RAN2 performance (e.g. paging performance), and also considering the requirement/assumption on user density in NTN should be determined by SA1 and there is ongoing study in SA1 for NTN as well, we propose that:</w:t>
      </w:r>
    </w:p>
    <w:p>
      <w:pPr>
        <w:rPr>
          <w:rFonts w:eastAsia="宋体"/>
          <w:b/>
          <w:bCs/>
        </w:rPr>
      </w:pPr>
      <w:r>
        <w:rPr>
          <w:rFonts w:hint="eastAsia" w:eastAsia="宋体"/>
          <w:b/>
          <w:bCs/>
        </w:rPr>
        <w:t xml:space="preserve">Proposal 1: One LS should be sent to SA1 to clarify the requirement/assumption on user density in NTN. </w:t>
      </w:r>
    </w:p>
    <w:p>
      <w:pPr>
        <w:rPr>
          <w:rFonts w:eastAsia="宋体"/>
        </w:rPr>
      </w:pPr>
    </w:p>
    <w:p>
      <w:pPr>
        <w:rPr>
          <w:rFonts w:eastAsia="宋体"/>
          <w:b/>
          <w:bCs/>
          <w:u w:val="single"/>
        </w:rPr>
      </w:pPr>
      <w:r>
        <w:rPr>
          <w:rFonts w:hint="eastAsia" w:eastAsia="宋体"/>
          <w:b/>
          <w:bCs/>
          <w:u w:val="single"/>
        </w:rPr>
        <w:t>Initial thought on the paging capacity in NTN</w:t>
      </w:r>
    </w:p>
    <w:p>
      <w:pPr>
        <w:rPr>
          <w:rFonts w:eastAsia="宋体"/>
        </w:rPr>
      </w:pPr>
      <w:r>
        <w:rPr>
          <w:rFonts w:hint="eastAsia" w:eastAsia="宋体"/>
        </w:rPr>
        <w:t xml:space="preserve">For the calculation of paging capacity in NR, according to TS 38.331 [1], the maximum number of paging records included in one paging message is 32, and the maximum number of paging occasions within one radio frame is 4 (i.e. maximum value of ns is 4). Therefore, the maximum number of UE can be </w:t>
      </w:r>
      <w:r>
        <w:rPr>
          <w:rFonts w:hint="eastAsia"/>
          <w:bCs/>
        </w:rPr>
        <w:t>paged within one radio frame is 32*4=128, and the paging capacity is 12800 UEs/s.</w:t>
      </w:r>
    </w:p>
    <w:p>
      <w:pPr>
        <w:rPr>
          <w:rFonts w:hint="eastAsia" w:eastAsia="宋体"/>
          <w:lang w:val="en-US" w:eastAsia="zh-CN"/>
        </w:rPr>
      </w:pPr>
      <w:r>
        <w:rPr>
          <w:rFonts w:hint="eastAsia" w:eastAsia="宋体"/>
        </w:rPr>
        <w:t>Since the NTN inten</w:t>
      </w:r>
      <w:r>
        <w:rPr>
          <w:rFonts w:eastAsia="宋体"/>
        </w:rPr>
        <w:t>ds</w:t>
      </w:r>
      <w:r>
        <w:rPr>
          <w:rFonts w:hint="eastAsia" w:eastAsia="宋体"/>
        </w:rPr>
        <w:t xml:space="preserve"> to support both the eMBB and mMTC services, and there is no clear traffic/service model of eMBB/mMTC services in NTN can be identified, we take the paging requirement assumption used in TA planning as a start point in the analysis of paging capacity. </w:t>
      </w:r>
      <w:r>
        <w:rPr>
          <w:rFonts w:hint="eastAsia" w:eastAsia="宋体"/>
          <w:lang w:val="en-US" w:eastAsia="zh-CN"/>
        </w:rPr>
        <w:t xml:space="preserve">In the current terrestrial network, the paging requirement per UE is assumed to be 0.001/s for TA planning. </w:t>
      </w:r>
      <w:bookmarkStart w:id="10" w:name="_GoBack"/>
      <w:bookmarkEnd w:id="10"/>
    </w:p>
    <w:p>
      <w:r>
        <w:rPr>
          <w:rFonts w:hint="eastAsia"/>
        </w:rPr>
        <w:t xml:space="preserve">Also considering the paging congestion, in order to ensure the paging performance, we assume the users supported within one TA is half of the value calculated based on the maximum paging capacity. </w:t>
      </w:r>
    </w:p>
    <w:p>
      <w:pPr>
        <w:numPr>
          <w:ilvl w:val="0"/>
          <w:numId w:val="6"/>
        </w:numPr>
      </w:pPr>
      <w:r>
        <w:rPr>
          <w:rFonts w:hint="eastAsia"/>
        </w:rPr>
        <w:t>Users supported in one TA * paging requirement for one UE</w:t>
      </w:r>
      <w:r>
        <w:rPr>
          <w:rFonts w:hint="eastAsia"/>
          <w:lang w:val="en-US" w:eastAsia="zh-CN"/>
        </w:rPr>
        <w:t xml:space="preserve"> </w:t>
      </w:r>
      <w:r>
        <w:rPr>
          <w:rFonts w:hint="eastAsia"/>
        </w:rPr>
        <w:t xml:space="preserve">= Paging capacity * 1/2 </w:t>
      </w:r>
    </w:p>
    <w:p>
      <w:pPr>
        <w:numPr>
          <w:ilvl w:val="255"/>
          <w:numId w:val="0"/>
        </w:numPr>
      </w:pPr>
      <w:r>
        <w:rPr>
          <w:rFonts w:hint="eastAsia"/>
        </w:rPr>
        <w:t>Considering the user number in one TA equals to the (coverage * user density), the maximum user density supported with the current NR paging capacity can be calculated as:</w:t>
      </w:r>
    </w:p>
    <w:p>
      <w:pPr>
        <w:numPr>
          <w:ilvl w:val="0"/>
          <w:numId w:val="7"/>
        </w:numPr>
      </w:pPr>
      <w:r>
        <w:rPr>
          <w:rFonts w:hint="eastAsia"/>
        </w:rPr>
        <w:t xml:space="preserve">The user density supported in one TA = ( Paging capacity / (coverage * paging requirement per UE)) * 1/2 </w:t>
      </w:r>
    </w:p>
    <w:p>
      <w:pPr>
        <w:numPr>
          <w:ilvl w:val="255"/>
          <w:numId w:val="0"/>
        </w:numPr>
        <w:rPr>
          <w:b/>
          <w:bCs/>
        </w:rPr>
      </w:pPr>
      <w:r>
        <w:rPr>
          <w:rFonts w:hint="eastAsia"/>
          <w:b/>
          <w:bCs/>
        </w:rPr>
        <w:t xml:space="preserve">Observation 3: The user density supported with the current NR paging capacity can be calculated as: </w:t>
      </w:r>
    </w:p>
    <w:p>
      <w:pPr>
        <w:numPr>
          <w:ilvl w:val="0"/>
          <w:numId w:val="8"/>
        </w:numPr>
        <w:rPr>
          <w:b/>
          <w:bCs/>
        </w:rPr>
      </w:pPr>
      <w:r>
        <w:rPr>
          <w:rFonts w:hint="eastAsia"/>
          <w:b/>
          <w:bCs/>
        </w:rPr>
        <w:t>user density supported in one TA = ( Paging capacity / (coverage * paging requirement per UE)) * 1/2</w:t>
      </w:r>
    </w:p>
    <w:p>
      <w:pPr>
        <w:numPr>
          <w:ilvl w:val="0"/>
          <w:numId w:val="8"/>
        </w:numPr>
        <w:rPr>
          <w:b/>
          <w:bCs/>
        </w:rPr>
      </w:pPr>
      <w:r>
        <w:rPr>
          <w:rFonts w:hint="eastAsia"/>
          <w:b/>
          <w:bCs/>
        </w:rPr>
        <w:t>Where the NR paging capacity = 12800 users/s</w:t>
      </w:r>
    </w:p>
    <w:p>
      <w:pPr>
        <w:numPr>
          <w:ilvl w:val="255"/>
          <w:numId w:val="0"/>
        </w:numPr>
        <w:jc w:val="center"/>
      </w:pPr>
      <w:r>
        <w:rPr>
          <w:rFonts w:hint="eastAsia"/>
        </w:rPr>
        <w:t xml:space="preserve">Table </w:t>
      </w:r>
      <w:r>
        <w:rPr>
          <w:rFonts w:hint="eastAsia"/>
          <w:lang w:val="en-US" w:eastAsia="zh-CN"/>
        </w:rPr>
        <w:t>2</w:t>
      </w:r>
      <w:r>
        <w:rPr>
          <w:rFonts w:hint="eastAsia"/>
        </w:rPr>
        <w:t>. Evaluation of the maximum user density based on the paging capacity in NR</w:t>
      </w:r>
    </w:p>
    <w:tbl>
      <w:tblPr>
        <w:tblStyle w:val="66"/>
        <w:tblW w:w="98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2473"/>
        <w:gridCol w:w="2473"/>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restart"/>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Coverage of one TA</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 xml:space="preserve"> )</w:t>
            </w:r>
          </w:p>
        </w:tc>
        <w:tc>
          <w:tcPr>
            <w:tcW w:w="7400" w:type="dxa"/>
            <w:gridSpan w:val="3"/>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User density supported</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 xml:space="preserve"> (user/km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continue"/>
          </w:tcPr>
          <w:p>
            <w:pPr>
              <w:jc w:val="center"/>
            </w:pP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0.001/s</w:t>
            </w: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0.0001/s</w:t>
            </w:r>
          </w:p>
        </w:tc>
        <w:tc>
          <w:tcPr>
            <w:tcW w:w="2454"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0.00001/s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30,000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2134</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21334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200,000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400,000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500,000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1280</w:t>
            </w:r>
          </w:p>
        </w:tc>
      </w:tr>
    </w:tbl>
    <w:p/>
    <w:p>
      <w:r>
        <w:rPr>
          <w:rFonts w:hint="eastAsia"/>
        </w:rPr>
        <w:t>Based on the table above, it seems that, based on the current paging capacity in NR, if we want to ensure the paging performance in case the coverage is large, the maximum user density supported will be quite small. In order to understand the challenge on the paging capacity in case of NTN, we propose that:</w:t>
      </w:r>
    </w:p>
    <w:p>
      <w:pPr>
        <w:rPr>
          <w:b/>
          <w:bCs/>
        </w:rPr>
      </w:pPr>
      <w:r>
        <w:rPr>
          <w:rFonts w:hint="eastAsia"/>
          <w:b/>
          <w:bCs/>
        </w:rPr>
        <w:t>Proposal 2: In order to show the challenge on the paging capacity in case of NTN, the evaluation of paging capacity and table above should be captured in the TR.</w:t>
      </w:r>
    </w:p>
    <w:p>
      <w:r>
        <w:rPr>
          <w:rFonts w:hint="eastAsia"/>
          <w:b/>
        </w:rPr>
        <w:t xml:space="preserve">Proposal 3: The paging capacity in non-terrestrial-network should be improved and some possible paging enhancements </w:t>
      </w:r>
      <w:r>
        <w:rPr>
          <w:b/>
        </w:rPr>
        <w:t>should</w:t>
      </w:r>
      <w:r>
        <w:rPr>
          <w:rFonts w:hint="eastAsia"/>
          <w:b/>
        </w:rPr>
        <w:t xml:space="preserve"> be considered.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rPr>
          <w:rFonts w:hint="eastAsia"/>
        </w:rPr>
        <w:t>With the above analysis, we have the following observation and proposals:</w:t>
      </w:r>
    </w:p>
    <w:p>
      <w:pPr>
        <w:rPr>
          <w:rFonts w:eastAsia="宋体"/>
          <w:bCs/>
          <w:i/>
          <w:iCs/>
        </w:rPr>
      </w:pPr>
      <w:r>
        <w:rPr>
          <w:rFonts w:hint="eastAsia" w:eastAsia="宋体"/>
          <w:bCs/>
          <w:i/>
          <w:iCs/>
        </w:rPr>
        <w:t>Observation 1: The typical beam foot print size is 200-1000km (i.e. the coverage is about 31416km</w:t>
      </w:r>
      <w:r>
        <w:rPr>
          <w:rFonts w:hint="eastAsia" w:eastAsia="宋体"/>
          <w:bCs/>
          <w:i/>
          <w:iCs/>
          <w:vertAlign w:val="superscript"/>
        </w:rPr>
        <w:t>2</w:t>
      </w:r>
      <w:r>
        <w:rPr>
          <w:rFonts w:hint="eastAsia" w:eastAsia="宋体"/>
          <w:bCs/>
          <w:i/>
          <w:iCs/>
        </w:rPr>
        <w:t xml:space="preserve"> - 785398km</w:t>
      </w:r>
      <w:r>
        <w:rPr>
          <w:rFonts w:hint="eastAsia" w:eastAsia="宋体"/>
          <w:bCs/>
          <w:i/>
          <w:iCs/>
          <w:vertAlign w:val="superscript"/>
        </w:rPr>
        <w:t>2</w:t>
      </w:r>
      <w:r>
        <w:rPr>
          <w:rFonts w:hint="eastAsia" w:eastAsia="宋体"/>
          <w:bCs/>
          <w:i/>
          <w:iCs/>
        </w:rPr>
        <w:t>) for GEO and 100-500km (i.e. the coverage is about 7854km</w:t>
      </w:r>
      <w:r>
        <w:rPr>
          <w:rFonts w:hint="eastAsia" w:eastAsia="宋体"/>
          <w:bCs/>
          <w:i/>
          <w:iCs/>
          <w:vertAlign w:val="superscript"/>
        </w:rPr>
        <w:t>2</w:t>
      </w:r>
      <w:r>
        <w:rPr>
          <w:rFonts w:hint="eastAsia" w:eastAsia="宋体"/>
          <w:bCs/>
          <w:i/>
          <w:iCs/>
        </w:rPr>
        <w:t xml:space="preserve"> - 196350km</w:t>
      </w:r>
      <w:r>
        <w:rPr>
          <w:rFonts w:hint="eastAsia" w:eastAsia="宋体"/>
          <w:bCs/>
          <w:i/>
          <w:iCs/>
          <w:vertAlign w:val="superscript"/>
        </w:rPr>
        <w:t>2</w:t>
      </w:r>
      <w:r>
        <w:rPr>
          <w:rFonts w:hint="eastAsia" w:eastAsia="宋体"/>
          <w:bCs/>
          <w:i/>
          <w:iCs/>
        </w:rPr>
        <w:t>) for Non-GEO, which is much larger than the typical coverage of NR Terrestrial cell.</w:t>
      </w:r>
    </w:p>
    <w:p>
      <w:pPr>
        <w:rPr>
          <w:bCs/>
          <w:i/>
          <w:iCs/>
          <w:color w:val="000000"/>
        </w:rPr>
      </w:pPr>
      <w:r>
        <w:rPr>
          <w:rFonts w:hint="eastAsia"/>
          <w:bCs/>
          <w:i/>
          <w:iCs/>
          <w:color w:val="000000"/>
        </w:rPr>
        <w:t xml:space="preserve">Observation 2: Since the NTN is expected to support both the eMBB and mMTC services, it </w:t>
      </w:r>
      <w:r>
        <w:rPr>
          <w:rFonts w:hint="eastAsia" w:eastAsia="宋体"/>
          <w:bCs/>
          <w:i/>
          <w:iCs/>
        </w:rPr>
        <w:t xml:space="preserve">seems we can not assume the </w:t>
      </w:r>
      <w:r>
        <w:rPr>
          <w:rFonts w:hint="eastAsia" w:eastAsia="宋体"/>
          <w:bCs/>
          <w:i/>
          <w:iCs/>
          <w:color w:val="000000"/>
        </w:rPr>
        <w:t xml:space="preserve">UE </w:t>
      </w:r>
      <w:r>
        <w:rPr>
          <w:bCs/>
          <w:i/>
          <w:iCs/>
          <w:color w:val="000000"/>
        </w:rPr>
        <w:t>density</w:t>
      </w:r>
      <w:r>
        <w:rPr>
          <w:rFonts w:hint="eastAsia"/>
          <w:bCs/>
          <w:i/>
          <w:iCs/>
          <w:color w:val="000000"/>
        </w:rPr>
        <w:t xml:space="preserve"> in NTN is always low.</w:t>
      </w:r>
    </w:p>
    <w:p>
      <w:pPr>
        <w:rPr>
          <w:rFonts w:eastAsia="宋体"/>
          <w:b/>
          <w:bCs/>
        </w:rPr>
      </w:pPr>
      <w:r>
        <w:rPr>
          <w:rFonts w:hint="eastAsia" w:eastAsia="宋体"/>
          <w:b/>
          <w:bCs/>
        </w:rPr>
        <w:t xml:space="preserve">Proposal 1: One LS should be sent to SA1 to clarify the requirement/assumption on user density in NTN. </w:t>
      </w:r>
    </w:p>
    <w:p>
      <w:pPr>
        <w:numPr>
          <w:ilvl w:val="255"/>
          <w:numId w:val="0"/>
        </w:numPr>
        <w:rPr>
          <w:i/>
          <w:iCs/>
        </w:rPr>
      </w:pPr>
      <w:r>
        <w:rPr>
          <w:rFonts w:hint="eastAsia"/>
          <w:i/>
          <w:iCs/>
        </w:rPr>
        <w:t xml:space="preserve">Observation 3: The user density supported with the current NR paging capacity can be calculated as: </w:t>
      </w:r>
    </w:p>
    <w:p>
      <w:pPr>
        <w:numPr>
          <w:ilvl w:val="0"/>
          <w:numId w:val="9"/>
        </w:numPr>
        <w:rPr>
          <w:i/>
          <w:iCs/>
        </w:rPr>
      </w:pPr>
      <w:r>
        <w:rPr>
          <w:rFonts w:hint="eastAsia"/>
          <w:i/>
          <w:iCs/>
        </w:rPr>
        <w:t>user density supported in one TA = ( Paging capacity / (coverage * paging requirement per UE)) * 1/2</w:t>
      </w:r>
    </w:p>
    <w:p>
      <w:pPr>
        <w:numPr>
          <w:ilvl w:val="0"/>
          <w:numId w:val="9"/>
        </w:numPr>
        <w:rPr>
          <w:i/>
          <w:iCs/>
        </w:rPr>
      </w:pPr>
      <w:r>
        <w:rPr>
          <w:rFonts w:hint="eastAsia"/>
          <w:i/>
          <w:iCs/>
        </w:rPr>
        <w:t>Where the NR paging capacity = 12800 users/s</w:t>
      </w:r>
    </w:p>
    <w:p>
      <w:pPr>
        <w:rPr>
          <w:b/>
          <w:bCs/>
        </w:rPr>
      </w:pPr>
      <w:r>
        <w:rPr>
          <w:rFonts w:hint="eastAsia"/>
          <w:b/>
          <w:bCs/>
        </w:rPr>
        <w:t>Proposal 2: In order to show the challenge on the paging capacity in NTN, the evaluation of paging capacity and table below should be captured in the TR.</w:t>
      </w:r>
    </w:p>
    <w:p>
      <w:pPr>
        <w:numPr>
          <w:ilvl w:val="255"/>
          <w:numId w:val="0"/>
        </w:numPr>
        <w:jc w:val="center"/>
      </w:pPr>
      <w:r>
        <w:rPr>
          <w:rFonts w:hint="eastAsia"/>
        </w:rPr>
        <w:t>Table 1. Evaluation of the maximum user density based on the paging capacity in NR</w:t>
      </w:r>
    </w:p>
    <w:tbl>
      <w:tblPr>
        <w:tblStyle w:val="66"/>
        <w:tblW w:w="98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3"/>
        <w:gridCol w:w="2473"/>
        <w:gridCol w:w="2473"/>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restart"/>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Coverage of one TA</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 xml:space="preserve"> )</w:t>
            </w:r>
          </w:p>
        </w:tc>
        <w:tc>
          <w:tcPr>
            <w:tcW w:w="7400" w:type="dxa"/>
            <w:gridSpan w:val="3"/>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User density supported</w:t>
            </w:r>
          </w:p>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 xml:space="preserve"> (user/km</w:t>
            </w:r>
            <w:r>
              <w:rPr>
                <w:rFonts w:hint="eastAsia" w:ascii="微软雅黑" w:hAnsi="微软雅黑" w:eastAsia="微软雅黑" w:cs="微软雅黑"/>
                <w:sz w:val="16"/>
                <w:szCs w:val="20"/>
                <w:vertAlign w:val="superscript"/>
              </w:rPr>
              <w:t>2</w:t>
            </w:r>
            <w:r>
              <w:rPr>
                <w:rFonts w:hint="eastAsia" w:ascii="微软雅黑" w:hAnsi="微软雅黑" w:eastAsia="微软雅黑" w:cs="微软雅黑"/>
                <w:sz w:val="16"/>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2473" w:type="dxa"/>
            <w:vMerge w:val="continue"/>
          </w:tcPr>
          <w:p>
            <w:pPr>
              <w:jc w:val="center"/>
            </w:pP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0.001/s</w:t>
            </w:r>
          </w:p>
        </w:tc>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0.0001/s</w:t>
            </w:r>
          </w:p>
        </w:tc>
        <w:tc>
          <w:tcPr>
            <w:tcW w:w="2454"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per UE paging requirement = 0.00001/s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30,000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2134</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21334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100,000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640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200,000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320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400,000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160</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73" w:type="dxa"/>
          </w:tcPr>
          <w:p>
            <w:pPr>
              <w:jc w:val="center"/>
              <w:rPr>
                <w:rFonts w:ascii="微软雅黑" w:hAnsi="微软雅黑" w:eastAsia="微软雅黑" w:cs="微软雅黑"/>
                <w:sz w:val="16"/>
                <w:szCs w:val="20"/>
              </w:rPr>
            </w:pPr>
            <w:r>
              <w:rPr>
                <w:rFonts w:hint="eastAsia" w:ascii="微软雅黑" w:hAnsi="微软雅黑" w:eastAsia="微软雅黑" w:cs="微软雅黑"/>
                <w:sz w:val="16"/>
                <w:szCs w:val="20"/>
              </w:rPr>
              <w:t>500,000</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73" w:type="dxa"/>
            <w:vAlign w:val="center"/>
          </w:tcPr>
          <w:p>
            <w:pPr>
              <w:widowControl/>
              <w:jc w:val="center"/>
              <w:textAlignment w:val="center"/>
              <w:rPr>
                <w:rFonts w:ascii="微软雅黑" w:hAnsi="微软雅黑" w:eastAsia="微软雅黑" w:cs="微软雅黑"/>
                <w:sz w:val="16"/>
                <w:szCs w:val="20"/>
              </w:rPr>
            </w:pPr>
            <w:r>
              <w:rPr>
                <w:rFonts w:hint="eastAsia" w:ascii="微软雅黑" w:hAnsi="微软雅黑" w:eastAsia="微软雅黑" w:cs="微软雅黑"/>
                <w:color w:val="000000"/>
                <w:kern w:val="0"/>
                <w:sz w:val="18"/>
                <w:szCs w:val="18"/>
                <w:lang w:bidi="ar"/>
              </w:rPr>
              <w:t>128</w:t>
            </w:r>
          </w:p>
        </w:tc>
        <w:tc>
          <w:tcPr>
            <w:tcW w:w="2454" w:type="dxa"/>
            <w:vAlign w:val="center"/>
          </w:tcPr>
          <w:p>
            <w:pPr>
              <w:widowControl/>
              <w:jc w:val="center"/>
              <w:textAlignment w:val="center"/>
              <w:rPr>
                <w:rFonts w:ascii="微软雅黑" w:hAnsi="微软雅黑" w:eastAsia="微软雅黑" w:cs="微软雅黑"/>
                <w:color w:val="000000"/>
                <w:kern w:val="0"/>
                <w:sz w:val="18"/>
                <w:szCs w:val="18"/>
                <w:lang w:bidi="ar"/>
              </w:rPr>
            </w:pPr>
            <w:r>
              <w:rPr>
                <w:rFonts w:hint="eastAsia" w:ascii="微软雅黑" w:hAnsi="微软雅黑" w:eastAsia="微软雅黑" w:cs="微软雅黑"/>
                <w:color w:val="000000"/>
                <w:kern w:val="0"/>
                <w:sz w:val="18"/>
                <w:szCs w:val="18"/>
                <w:lang w:bidi="ar"/>
              </w:rPr>
              <w:t>1280</w:t>
            </w:r>
          </w:p>
        </w:tc>
      </w:tr>
    </w:tbl>
    <w:p>
      <w:pPr>
        <w:rPr>
          <w:b/>
          <w:bCs/>
        </w:rPr>
      </w:pPr>
    </w:p>
    <w:p>
      <w:pPr>
        <w:rPr>
          <w:b/>
        </w:rPr>
      </w:pPr>
      <w:r>
        <w:rPr>
          <w:rFonts w:hint="eastAsia"/>
          <w:b/>
        </w:rPr>
        <w:t>Proposal 3: The paging capacity in non-terrestrial-network should be improved and some possible paging enhancements can be considered.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10"/>
        </w:numPr>
        <w:ind w:firstLineChars="0"/>
      </w:pPr>
      <w:r>
        <w:rPr>
          <w:rFonts w:hint="eastAsia"/>
        </w:rPr>
        <w:t>TS 38.331</w:t>
      </w:r>
    </w:p>
    <w:p>
      <w:pPr>
        <w:pStyle w:val="68"/>
        <w:numPr>
          <w:ilvl w:val="0"/>
          <w:numId w:val="10"/>
        </w:numPr>
        <w:ind w:firstLineChars="0"/>
      </w:pPr>
      <w:r>
        <w:rPr>
          <w:rFonts w:hint="eastAsia"/>
        </w:rPr>
        <w:t>TR 38.811</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Annex RRC ASN.1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rPr>
          <w:color w:val="808080"/>
        </w:rPr>
        <w:t xml:space="preserve">-- </w:t>
      </w:r>
      <w:r>
        <w:rPr>
          <w:rFonts w:eastAsia="Batang"/>
          <w:color w:val="808080"/>
          <w:szCs w:val="22"/>
          <w:lang w:val="en-GB" w:eastAsia="sv-SE"/>
        </w:rPr>
        <w:t>ASN1START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color w:val="808080"/>
        </w:rPr>
        <w:t>-- TAG-PAGING</w:t>
      </w:r>
      <w:r>
        <w:rPr>
          <w:color w:val="808080"/>
          <w:szCs w:val="22"/>
        </w:rPr>
        <w:t>-START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 xml:space="preserve">Paging ::= </w:t>
      </w:r>
      <w:r>
        <w:tab/>
      </w:r>
      <w:r>
        <w:tab/>
      </w:r>
      <w:r>
        <w:tab/>
      </w:r>
      <w:r>
        <w:tab/>
      </w:r>
      <w:r>
        <w:tab/>
      </w:r>
      <w:r>
        <w:tab/>
      </w:r>
      <w:r>
        <w:tab/>
      </w:r>
      <w:r>
        <w:rPr>
          <w:color w:val="993366"/>
        </w:rPr>
        <w:t>SEQUENCE</w:t>
      </w:r>
      <w:r>
        <w:t xml:space="preserv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tab/>
      </w:r>
      <w:r>
        <w:rPr>
          <w:szCs w:val="22"/>
        </w:rPr>
        <w:t>pagingRecordList</w:t>
      </w:r>
      <w:r>
        <w:tab/>
      </w:r>
      <w:r>
        <w:tab/>
      </w:r>
      <w:r>
        <w:tab/>
      </w:r>
      <w:r>
        <w:tab/>
      </w:r>
      <w:r>
        <w:tab/>
      </w:r>
      <w:r>
        <w:tab/>
      </w:r>
      <w:r>
        <w:t>PagingRecordList</w:t>
      </w:r>
      <w:r>
        <w:tab/>
      </w:r>
      <w:r>
        <w:tab/>
      </w:r>
      <w:r>
        <w:tab/>
      </w:r>
      <w:r>
        <w:tab/>
      </w:r>
      <w:r>
        <w:tab/>
      </w:r>
      <w:r>
        <w:tab/>
      </w:r>
      <w:r>
        <w:tab/>
      </w:r>
      <w:r>
        <w:tab/>
      </w:r>
      <w:r>
        <w:tab/>
      </w:r>
      <w:r>
        <w:tab/>
      </w:r>
      <w:r>
        <w:tab/>
      </w:r>
      <w:r>
        <w:tab/>
      </w:r>
      <w:r>
        <w:tab/>
      </w:r>
      <w:r>
        <w:tab/>
      </w:r>
      <w:r>
        <w:rPr>
          <w:color w:val="993366"/>
        </w:rPr>
        <w:t>OPTIONAL</w:t>
      </w:r>
      <w:r>
        <w:t xml:space="preserve">, </w:t>
      </w:r>
      <w:r>
        <w:rPr>
          <w:color w:val="808080"/>
        </w:rPr>
        <w:t>-- Need 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lateNonCriticalExtension</w:t>
      </w:r>
      <w:r>
        <w:tab/>
      </w:r>
      <w:r>
        <w:tab/>
      </w:r>
      <w:r>
        <w:tab/>
      </w:r>
      <w:r>
        <w:tab/>
      </w:r>
      <w:r>
        <w:t>OCTET STRING</w:t>
      </w:r>
      <w:r>
        <w:tab/>
      </w:r>
      <w:r>
        <w:tab/>
      </w:r>
      <w:r>
        <w:tab/>
      </w:r>
      <w:r>
        <w:tab/>
      </w:r>
      <w:r>
        <w:tab/>
      </w:r>
      <w:r>
        <w:tab/>
      </w:r>
      <w:r>
        <w:tab/>
      </w:r>
      <w:r>
        <w:tab/>
      </w:r>
      <w:r>
        <w:tab/>
      </w:r>
      <w:r>
        <w:tab/>
      </w:r>
      <w:r>
        <w:tab/>
      </w:r>
      <w:r>
        <w:tab/>
      </w:r>
      <w:r>
        <w:tab/>
      </w:r>
      <w:r>
        <w:tab/>
      </w:r>
      <w:r>
        <w:tab/>
      </w:r>
      <w:r>
        <w:rPr>
          <w:color w:val="993366"/>
        </w:rPr>
        <w:t>OPTIONAL</w:t>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nonCriticalExtension</w:t>
      </w:r>
      <w:r>
        <w:tab/>
      </w:r>
      <w:r>
        <w:tab/>
      </w:r>
      <w:r>
        <w:tab/>
      </w:r>
      <w:r>
        <w:tab/>
      </w:r>
      <w:r>
        <w:tab/>
      </w:r>
      <w:r>
        <w:rPr>
          <w:color w:val="993366"/>
        </w:rPr>
        <w:t>SEQUENCE</w:t>
      </w:r>
      <w:r>
        <w:t>{}</w:t>
      </w:r>
      <w:r>
        <w:tab/>
      </w:r>
      <w:r>
        <w:tab/>
      </w:r>
      <w:r>
        <w:tab/>
      </w:r>
      <w:r>
        <w:tab/>
      </w:r>
      <w:r>
        <w:tab/>
      </w:r>
      <w:r>
        <w:tab/>
      </w:r>
      <w:r>
        <w:tab/>
      </w:r>
      <w:r>
        <w:tab/>
      </w:r>
      <w:r>
        <w:tab/>
      </w:r>
      <w:r>
        <w:tab/>
      </w:r>
      <w:r>
        <w:tab/>
      </w:r>
      <w:r>
        <w:tab/>
      </w:r>
      <w:r>
        <w:tab/>
      </w:r>
      <w:r>
        <w:tab/>
      </w:r>
      <w:r>
        <w:tab/>
      </w:r>
      <w:r>
        <w:tab/>
      </w:r>
      <w:r>
        <w:rPr>
          <w:color w:val="993366"/>
        </w:rPr>
        <w:t>OPTIONAL</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highlight w:val="yellow"/>
        </w:rPr>
      </w:pPr>
      <w:r>
        <w:rPr>
          <w:highlight w:val="yellow"/>
        </w:rPr>
        <w:t>PagingRecordList ::=</w:t>
      </w:r>
      <w:r>
        <w:rPr>
          <w:highlight w:val="yellow"/>
        </w:rPr>
        <w:tab/>
      </w:r>
      <w:r>
        <w:rPr>
          <w:highlight w:val="yellow"/>
        </w:rPr>
        <w:tab/>
      </w:r>
      <w:r>
        <w:rPr>
          <w:highlight w:val="yellow"/>
        </w:rPr>
        <w:tab/>
      </w:r>
      <w:r>
        <w:rPr>
          <w:highlight w:val="yellow"/>
        </w:rPr>
        <w:tab/>
      </w:r>
      <w:r>
        <w:rPr>
          <w:color w:val="993366"/>
          <w:highlight w:val="yellow"/>
        </w:rPr>
        <w:t>SEQUENCE</w:t>
      </w:r>
      <w:r>
        <w:rPr>
          <w:highlight w:val="yellow"/>
        </w:rPr>
        <w:t>(</w:t>
      </w:r>
      <w:r>
        <w:rPr>
          <w:color w:val="993366"/>
          <w:highlight w:val="yellow"/>
        </w:rPr>
        <w:t>SIZE</w:t>
      </w:r>
      <w:r>
        <w:rPr>
          <w:highlight w:val="yellow"/>
        </w:rPr>
        <w:t>(1..maxNrofPageRec)) OF PagingRecord</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rPr>
          <w:szCs w:val="22"/>
        </w:rPr>
        <w:t xml:space="preserve">PagingRecord </w:t>
      </w:r>
      <w:r>
        <w:t>::=</w:t>
      </w:r>
      <w:r>
        <w:tab/>
      </w:r>
      <w:r>
        <w:tab/>
      </w:r>
      <w:r>
        <w:tab/>
      </w:r>
      <w:r>
        <w:tab/>
      </w:r>
      <w:r>
        <w:tab/>
      </w:r>
      <w:r>
        <w:rPr>
          <w:color w:val="993366"/>
        </w:rPr>
        <w:t>SEQUENCE</w:t>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ue-</w:t>
      </w:r>
      <w:r>
        <w:rPr>
          <w:szCs w:val="22"/>
          <w:lang w:eastAsia="sv-SE"/>
        </w:rPr>
        <w:t>Identity</w:t>
      </w:r>
      <w:r>
        <w:tab/>
      </w:r>
      <w:r>
        <w:tab/>
      </w:r>
      <w:r>
        <w:tab/>
      </w:r>
      <w:r>
        <w:tab/>
      </w:r>
      <w:r>
        <w:tab/>
      </w:r>
      <w:r>
        <w:tab/>
      </w:r>
      <w:r>
        <w:tab/>
      </w:r>
      <w:r>
        <w:t>PagingUE-Identity,</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rFonts w:eastAsia="Batang"/>
          <w:lang w:eastAsia="sv-SE"/>
        </w:rPr>
      </w:pPr>
      <w:r>
        <w:rPr>
          <w:rFonts w:eastAsia="Batang"/>
          <w:lang w:eastAsia="sv-SE"/>
        </w:rPr>
        <w:tab/>
      </w:r>
      <w:r>
        <w:rPr>
          <w:rFonts w:eastAsia="Batang"/>
          <w:lang w:eastAsia="sv-SE"/>
        </w:rPr>
        <w:t>accessType</w:t>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ab/>
      </w:r>
      <w:r>
        <w:rPr>
          <w:rFonts w:eastAsia="Batang"/>
          <w:lang w:eastAsia="sv-SE"/>
        </w:rPr>
        <w:t>ENUMERATED {non3GPP}</w:t>
      </w:r>
      <w:r>
        <w:rPr>
          <w:rFonts w:eastAsia="Batang"/>
          <w:lang w:eastAsia="sv-SE"/>
        </w:rPr>
        <w:tab/>
      </w:r>
      <w:r>
        <w:rPr>
          <w:rFonts w:eastAsia="Batang"/>
          <w:lang w:eastAsia="sv-SE"/>
        </w:rPr>
        <w:t>OPTIONAL,</w:t>
      </w:r>
      <w:r>
        <w:rPr>
          <w:rFonts w:eastAsia="Batang"/>
          <w:lang w:eastAsia="sv-SE"/>
        </w:rPr>
        <w:tab/>
      </w:r>
      <w:r>
        <w:rPr>
          <w:rFonts w:eastAsia="Batang"/>
          <w:lang w:eastAsia="sv-SE"/>
        </w:rPr>
        <w:t>-- Need N</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PagingUE-</w:t>
      </w:r>
      <w:r>
        <w:rPr>
          <w:szCs w:val="22"/>
        </w:rPr>
        <w:t xml:space="preserve">Identity </w:t>
      </w:r>
      <w:r>
        <w:t>::=</w:t>
      </w:r>
      <w:r>
        <w:tab/>
      </w:r>
      <w:r>
        <w:tab/>
      </w:r>
      <w:r>
        <w:tab/>
      </w:r>
      <w:r>
        <w:tab/>
      </w:r>
      <w:r>
        <w:rPr>
          <w:color w:val="993366"/>
        </w:rPr>
        <w:t>CHOICE</w:t>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ng-5G-S-TMSI</w:t>
      </w:r>
      <w:r>
        <w:tab/>
      </w:r>
      <w:r>
        <w:tab/>
      </w:r>
      <w:r>
        <w:tab/>
      </w:r>
      <w:r>
        <w:tab/>
      </w:r>
      <w:r>
        <w:tab/>
      </w:r>
      <w:r>
        <w:tab/>
      </w:r>
      <w:r>
        <w:t>NG-5G-S-TMSI,</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i-RNTI</w:t>
      </w:r>
      <w:r>
        <w:tab/>
      </w:r>
      <w:r>
        <w:tab/>
      </w:r>
      <w:r>
        <w:tab/>
      </w:r>
      <w:r>
        <w:tab/>
      </w:r>
      <w:r>
        <w:tab/>
      </w:r>
      <w:r>
        <w:tab/>
      </w:r>
      <w:r>
        <w:tab/>
      </w:r>
      <w:r>
        <w:tab/>
      </w:r>
      <w:r>
        <w:t>I-RNTI-Value,</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rPr>
          <w:color w:val="808080"/>
        </w:rPr>
        <w:t>-- TAG-PAGING-STOP</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rPr>
      </w:pPr>
      <w:r>
        <w:rPr>
          <w:color w:val="808080"/>
        </w:rPr>
        <w:t>-- ASN1STOP</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rPr>
          <w:color w:val="808080"/>
          <w:highlight w:val="yellow"/>
        </w:rPr>
      </w:pPr>
      <w:r>
        <w:rPr>
          <w:szCs w:val="22"/>
          <w:highlight w:val="yellow"/>
        </w:rPr>
        <w:t>maxNrofPageRec</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INTEGER</w:t>
      </w:r>
      <w:r>
        <w:rPr>
          <w:highlight w:val="yellow"/>
        </w:rPr>
        <w:t xml:space="preserve"> ::= 32</w:t>
      </w:r>
      <w:r>
        <w:rPr>
          <w:color w:val="808080"/>
          <w:highlight w:val="yellow"/>
        </w:rPr>
        <w:t>-- Maximum number of page records</w:t>
      </w:r>
    </w:p>
    <w:p>
      <w:pPr>
        <w:pStyle w:val="68"/>
        <w:numPr>
          <w:ilvl w:val="255"/>
          <w:numId w:val="0"/>
        </w:numPr>
      </w:pP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PCCH-Config ::=</w:t>
      </w:r>
      <w:r>
        <w:tab/>
      </w:r>
      <w:r>
        <w:tab/>
      </w:r>
      <w:r>
        <w:tab/>
      </w:r>
      <w:r>
        <w:tab/>
      </w:r>
      <w:r>
        <w:t>SEQUENCE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defaultPagingCycle</w:t>
      </w:r>
      <w:r>
        <w:tab/>
      </w:r>
      <w:r>
        <w:tab/>
      </w:r>
      <w:r>
        <w:tab/>
      </w:r>
      <w:r>
        <w:tab/>
      </w:r>
      <w:r>
        <w:tab/>
      </w:r>
      <w:r>
        <w:t>PagingCycle,</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szCs w:val="22"/>
        </w:rPr>
        <w:t>nAndPagingFrameOffset</w:t>
      </w:r>
      <w:r>
        <w:tab/>
      </w:r>
      <w:r>
        <w:tab/>
      </w:r>
      <w:r>
        <w:tab/>
      </w:r>
      <w:r>
        <w:tab/>
      </w:r>
      <w:r>
        <w:t>CHOICE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oneT</w:t>
      </w:r>
      <w:r>
        <w:tab/>
      </w:r>
      <w:r>
        <w:tab/>
      </w:r>
      <w:r>
        <w:tab/>
      </w:r>
      <w:r>
        <w:tab/>
      </w:r>
      <w:r>
        <w:tab/>
      </w:r>
      <w:r>
        <w:tab/>
      </w:r>
      <w:r>
        <w:tab/>
      </w:r>
      <w:r>
        <w:tab/>
      </w:r>
      <w:r>
        <w:t xml:space="preserve">NULL, </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halfT</w:t>
      </w:r>
      <w:r>
        <w:tab/>
      </w:r>
      <w:r>
        <w:tab/>
      </w:r>
      <w:r>
        <w:tab/>
      </w:r>
      <w:r>
        <w:tab/>
      </w:r>
      <w:r>
        <w:tab/>
      </w:r>
      <w:r>
        <w:tab/>
      </w:r>
      <w:r>
        <w:tab/>
      </w:r>
      <w:r>
        <w:tab/>
      </w:r>
      <w:r>
        <w:t>INTEGER (0..1),</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quarterT</w:t>
      </w:r>
      <w:r>
        <w:tab/>
      </w:r>
      <w:r>
        <w:tab/>
      </w:r>
      <w:r>
        <w:tab/>
      </w:r>
      <w:r>
        <w:tab/>
      </w:r>
      <w:r>
        <w:tab/>
      </w:r>
      <w:r>
        <w:tab/>
      </w:r>
      <w:r>
        <w:tab/>
      </w:r>
      <w:r>
        <w:t>INTEGER (0..3),</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t>oneEighthT</w:t>
      </w:r>
      <w:r>
        <w:tab/>
      </w:r>
      <w:r>
        <w:tab/>
      </w:r>
      <w:r>
        <w:tab/>
      </w:r>
      <w:r>
        <w:tab/>
      </w:r>
      <w:r>
        <w:tab/>
      </w:r>
      <w:r>
        <w:tab/>
      </w:r>
      <w:r>
        <w:tab/>
      </w:r>
      <w:r>
        <w:t>INTEGER (0..7),</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ab/>
      </w:r>
      <w:r>
        <w:rPr>
          <w:szCs w:val="22"/>
        </w:rPr>
        <w:t>oneSixteenthT</w:t>
      </w:r>
      <w:r>
        <w:tab/>
      </w:r>
      <w:r>
        <w:tab/>
      </w:r>
      <w:r>
        <w:tab/>
      </w:r>
      <w:r>
        <w:tab/>
      </w:r>
      <w:r>
        <w:tab/>
      </w:r>
      <w:r>
        <w:tab/>
      </w:r>
      <w:r>
        <w:t>INTEGER (0..15)</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rPr>
          <w:highlight w:val="yellow"/>
        </w:rPr>
        <w:t>ns</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ENUMERATED {four, two, one},</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ab/>
      </w:r>
      <w:r>
        <w:t>...</w:t>
      </w:r>
    </w:p>
    <w:p>
      <w:pPr>
        <w:pStyle w:val="246"/>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40" w:lineRule="auto"/>
        <w:textAlignment w:val="auto"/>
      </w:pPr>
      <w:r>
        <w:t>}</w:t>
      </w:r>
    </w:p>
    <w:p>
      <w:pPr>
        <w:pStyle w:val="68"/>
        <w:numPr>
          <w:ilvl w:val="255"/>
          <w:numId w:val="0"/>
        </w:num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9"/>
      </w:rPr>
    </w:pPr>
    <w:r>
      <w:rPr>
        <w:rStyle w:val="59"/>
      </w:rPr>
      <w:fldChar w:fldCharType="begin"/>
    </w:r>
    <w:r>
      <w:rPr>
        <w:rStyle w:val="59"/>
      </w:rPr>
      <w:instrText xml:space="preserve">PAGE  </w:instrText>
    </w:r>
    <w:r>
      <w:rPr>
        <w:rStyle w:val="59"/>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FE3027"/>
    <w:multiLevelType w:val="multilevel"/>
    <w:tmpl w:val="96FE30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899F380"/>
    <w:multiLevelType w:val="singleLevel"/>
    <w:tmpl w:val="D899F380"/>
    <w:lvl w:ilvl="0" w:tentative="0">
      <w:start w:val="1"/>
      <w:numFmt w:val="bullet"/>
      <w:lvlText w:val=""/>
      <w:lvlJc w:val="left"/>
      <w:pPr>
        <w:ind w:left="420" w:hanging="420"/>
      </w:pPr>
      <w:rPr>
        <w:rFonts w:hint="default" w:ascii="Wingdings" w:hAnsi="Wingdings"/>
      </w:rPr>
    </w:lvl>
  </w:abstractNum>
  <w:abstractNum w:abstractNumId="2">
    <w:nsid w:val="DD0392AB"/>
    <w:multiLevelType w:val="singleLevel"/>
    <w:tmpl w:val="DD0392AB"/>
    <w:lvl w:ilvl="0" w:tentative="0">
      <w:start w:val="1"/>
      <w:numFmt w:val="bullet"/>
      <w:lvlText w:val=""/>
      <w:lvlJc w:val="left"/>
      <w:pPr>
        <w:ind w:left="420" w:hanging="420"/>
      </w:pPr>
      <w:rPr>
        <w:rFonts w:hint="default" w:ascii="Wingdings" w:hAnsi="Wingdings"/>
      </w:rPr>
    </w:lvl>
  </w:abstractNum>
  <w:abstractNum w:abstractNumId="3">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1E5C58E5"/>
    <w:multiLevelType w:val="multilevel"/>
    <w:tmpl w:val="1E5C58E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02CBA9"/>
    <w:multiLevelType w:val="singleLevel"/>
    <w:tmpl w:val="2F02CBA9"/>
    <w:lvl w:ilvl="0" w:tentative="0">
      <w:start w:val="1"/>
      <w:numFmt w:val="bullet"/>
      <w:lvlText w:val=""/>
      <w:lvlJc w:val="left"/>
      <w:pPr>
        <w:ind w:left="420" w:hanging="420"/>
      </w:pPr>
      <w:rPr>
        <w:rFonts w:hint="default" w:ascii="Wingdings" w:hAnsi="Wingdings"/>
      </w:rPr>
    </w:lvl>
  </w:abstractNum>
  <w:abstractNum w:abstractNumId="7">
    <w:nsid w:val="3EE46544"/>
    <w:multiLevelType w:val="multilevel"/>
    <w:tmpl w:val="3EE4654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E6A43E1"/>
    <w:multiLevelType w:val="singleLevel"/>
    <w:tmpl w:val="6E6A43E1"/>
    <w:lvl w:ilvl="0" w:tentative="0">
      <w:start w:val="1"/>
      <w:numFmt w:val="bullet"/>
      <w:lvlText w:val=""/>
      <w:lvlJc w:val="left"/>
      <w:pPr>
        <w:ind w:left="420" w:hanging="420"/>
      </w:pPr>
      <w:rPr>
        <w:rFonts w:hint="default" w:ascii="Wingdings" w:hAnsi="Wingdings"/>
      </w:rPr>
    </w:lvl>
  </w:abstractNum>
  <w:num w:numId="1">
    <w:abstractNumId w:val="3"/>
  </w:num>
  <w:num w:numId="2">
    <w:abstractNumId w:val="8"/>
  </w:num>
  <w:num w:numId="3">
    <w:abstractNumId w:val="4"/>
  </w:num>
  <w:num w:numId="4">
    <w:abstractNumId w:val="1"/>
  </w:num>
  <w:num w:numId="5">
    <w:abstractNumId w:val="5"/>
  </w:num>
  <w:num w:numId="6">
    <w:abstractNumId w:val="6"/>
  </w:num>
  <w:num w:numId="7">
    <w:abstractNumId w:val="0"/>
  </w:num>
  <w:num w:numId="8">
    <w:abstractNumId w:val="2"/>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val="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76131"/>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163216"/>
    <w:rsid w:val="01427510"/>
    <w:rsid w:val="01724323"/>
    <w:rsid w:val="01F6071A"/>
    <w:rsid w:val="02105BCC"/>
    <w:rsid w:val="0213188C"/>
    <w:rsid w:val="02437D3E"/>
    <w:rsid w:val="024B45DB"/>
    <w:rsid w:val="027F11AC"/>
    <w:rsid w:val="028470E8"/>
    <w:rsid w:val="02B219C0"/>
    <w:rsid w:val="02C27DEA"/>
    <w:rsid w:val="02C57546"/>
    <w:rsid w:val="02EB2A7B"/>
    <w:rsid w:val="033F5DF4"/>
    <w:rsid w:val="03CD3963"/>
    <w:rsid w:val="04115871"/>
    <w:rsid w:val="04176266"/>
    <w:rsid w:val="04231D6E"/>
    <w:rsid w:val="043E3BD3"/>
    <w:rsid w:val="04746FED"/>
    <w:rsid w:val="047E4A8F"/>
    <w:rsid w:val="04865192"/>
    <w:rsid w:val="048E11A9"/>
    <w:rsid w:val="04D7059C"/>
    <w:rsid w:val="0536681D"/>
    <w:rsid w:val="054C7D1C"/>
    <w:rsid w:val="05B63D95"/>
    <w:rsid w:val="05F7165D"/>
    <w:rsid w:val="06017CE0"/>
    <w:rsid w:val="06365B50"/>
    <w:rsid w:val="06393E16"/>
    <w:rsid w:val="06561355"/>
    <w:rsid w:val="065E6CDE"/>
    <w:rsid w:val="068A20E4"/>
    <w:rsid w:val="06B82D78"/>
    <w:rsid w:val="06D37910"/>
    <w:rsid w:val="073A2A17"/>
    <w:rsid w:val="07847096"/>
    <w:rsid w:val="07CE2E21"/>
    <w:rsid w:val="08242518"/>
    <w:rsid w:val="08290E07"/>
    <w:rsid w:val="083A7B9E"/>
    <w:rsid w:val="088B5031"/>
    <w:rsid w:val="088F268A"/>
    <w:rsid w:val="08B51BA5"/>
    <w:rsid w:val="091F1E33"/>
    <w:rsid w:val="0926712F"/>
    <w:rsid w:val="093F645D"/>
    <w:rsid w:val="094F44E3"/>
    <w:rsid w:val="098C23B7"/>
    <w:rsid w:val="09A2202C"/>
    <w:rsid w:val="09C0148B"/>
    <w:rsid w:val="0A41647C"/>
    <w:rsid w:val="0A436C11"/>
    <w:rsid w:val="0AA77F22"/>
    <w:rsid w:val="0AAE3FA8"/>
    <w:rsid w:val="0AD647A5"/>
    <w:rsid w:val="0B24396B"/>
    <w:rsid w:val="0B49387C"/>
    <w:rsid w:val="0B560B94"/>
    <w:rsid w:val="0B94771A"/>
    <w:rsid w:val="0BE57B4E"/>
    <w:rsid w:val="0BF83F28"/>
    <w:rsid w:val="0C755CB5"/>
    <w:rsid w:val="0CB04A70"/>
    <w:rsid w:val="0CCC596D"/>
    <w:rsid w:val="0CE46F4E"/>
    <w:rsid w:val="0CFF1F19"/>
    <w:rsid w:val="0D064EBC"/>
    <w:rsid w:val="0D346C04"/>
    <w:rsid w:val="0D387415"/>
    <w:rsid w:val="0D551567"/>
    <w:rsid w:val="0D7A3592"/>
    <w:rsid w:val="0E4F3F26"/>
    <w:rsid w:val="0E927861"/>
    <w:rsid w:val="0EA4482A"/>
    <w:rsid w:val="0EA926E0"/>
    <w:rsid w:val="0EC132D7"/>
    <w:rsid w:val="0F0E6CDB"/>
    <w:rsid w:val="0F685729"/>
    <w:rsid w:val="0F70152C"/>
    <w:rsid w:val="0FDB1049"/>
    <w:rsid w:val="0FE322F6"/>
    <w:rsid w:val="0FF8213F"/>
    <w:rsid w:val="102F5257"/>
    <w:rsid w:val="103E22B2"/>
    <w:rsid w:val="106E070C"/>
    <w:rsid w:val="10910A6C"/>
    <w:rsid w:val="10E75ECD"/>
    <w:rsid w:val="110F2DD6"/>
    <w:rsid w:val="111E737C"/>
    <w:rsid w:val="114C7F4B"/>
    <w:rsid w:val="11E01EB5"/>
    <w:rsid w:val="11FD0D0E"/>
    <w:rsid w:val="12112075"/>
    <w:rsid w:val="12146A64"/>
    <w:rsid w:val="1357550B"/>
    <w:rsid w:val="13933000"/>
    <w:rsid w:val="139C112D"/>
    <w:rsid w:val="140947EE"/>
    <w:rsid w:val="144A0D85"/>
    <w:rsid w:val="145A1D5A"/>
    <w:rsid w:val="146C12BB"/>
    <w:rsid w:val="148C237F"/>
    <w:rsid w:val="14A06FC1"/>
    <w:rsid w:val="14B94964"/>
    <w:rsid w:val="15337D09"/>
    <w:rsid w:val="155D0A7F"/>
    <w:rsid w:val="1580763A"/>
    <w:rsid w:val="15DD4A1C"/>
    <w:rsid w:val="16263368"/>
    <w:rsid w:val="168521B8"/>
    <w:rsid w:val="16A5270A"/>
    <w:rsid w:val="16D61CD9"/>
    <w:rsid w:val="16E74CBD"/>
    <w:rsid w:val="175B1D16"/>
    <w:rsid w:val="179C79A4"/>
    <w:rsid w:val="17D52F7B"/>
    <w:rsid w:val="17F5084F"/>
    <w:rsid w:val="18440068"/>
    <w:rsid w:val="18502972"/>
    <w:rsid w:val="190E7C32"/>
    <w:rsid w:val="191F38B0"/>
    <w:rsid w:val="1951139B"/>
    <w:rsid w:val="1975293B"/>
    <w:rsid w:val="19BC030D"/>
    <w:rsid w:val="19E0148D"/>
    <w:rsid w:val="1A523105"/>
    <w:rsid w:val="1A5562D2"/>
    <w:rsid w:val="1AD6153D"/>
    <w:rsid w:val="1ADA55B5"/>
    <w:rsid w:val="1ADC1643"/>
    <w:rsid w:val="1ADF0AC1"/>
    <w:rsid w:val="1B192659"/>
    <w:rsid w:val="1B400993"/>
    <w:rsid w:val="1BE16AFC"/>
    <w:rsid w:val="1BEC65C0"/>
    <w:rsid w:val="1C3441A7"/>
    <w:rsid w:val="1C365CFE"/>
    <w:rsid w:val="1C7C5F29"/>
    <w:rsid w:val="1CC05CC7"/>
    <w:rsid w:val="1CD66AF0"/>
    <w:rsid w:val="1CE122CF"/>
    <w:rsid w:val="1D2F1D46"/>
    <w:rsid w:val="1D51270F"/>
    <w:rsid w:val="1DBD16BE"/>
    <w:rsid w:val="1E2B3BCE"/>
    <w:rsid w:val="1E4B77EA"/>
    <w:rsid w:val="1E5F399D"/>
    <w:rsid w:val="1E780410"/>
    <w:rsid w:val="1E8E5EF5"/>
    <w:rsid w:val="1EC76DC7"/>
    <w:rsid w:val="1EC85A19"/>
    <w:rsid w:val="1ED92D03"/>
    <w:rsid w:val="1EF0541B"/>
    <w:rsid w:val="1F1B6A59"/>
    <w:rsid w:val="1F235508"/>
    <w:rsid w:val="1F444220"/>
    <w:rsid w:val="1F517B8E"/>
    <w:rsid w:val="1F904F2D"/>
    <w:rsid w:val="1FD81AFC"/>
    <w:rsid w:val="1FE31889"/>
    <w:rsid w:val="206D77FE"/>
    <w:rsid w:val="20766B5D"/>
    <w:rsid w:val="207C5A77"/>
    <w:rsid w:val="20A56834"/>
    <w:rsid w:val="20CC063E"/>
    <w:rsid w:val="210114BB"/>
    <w:rsid w:val="21737460"/>
    <w:rsid w:val="2176492F"/>
    <w:rsid w:val="21E26D67"/>
    <w:rsid w:val="21FC4A83"/>
    <w:rsid w:val="220348F7"/>
    <w:rsid w:val="226709A2"/>
    <w:rsid w:val="234E59AA"/>
    <w:rsid w:val="248C391F"/>
    <w:rsid w:val="249700EF"/>
    <w:rsid w:val="250B6210"/>
    <w:rsid w:val="25493BC7"/>
    <w:rsid w:val="254F48B6"/>
    <w:rsid w:val="25CD3FBC"/>
    <w:rsid w:val="25E540FF"/>
    <w:rsid w:val="25FE3FFD"/>
    <w:rsid w:val="26533224"/>
    <w:rsid w:val="26C54B9B"/>
    <w:rsid w:val="26C6512F"/>
    <w:rsid w:val="27A449A7"/>
    <w:rsid w:val="27BC433E"/>
    <w:rsid w:val="27E63AB6"/>
    <w:rsid w:val="27F231DD"/>
    <w:rsid w:val="285C6B52"/>
    <w:rsid w:val="2887164E"/>
    <w:rsid w:val="28A843B1"/>
    <w:rsid w:val="28EB1022"/>
    <w:rsid w:val="298D0F22"/>
    <w:rsid w:val="29B025A4"/>
    <w:rsid w:val="2A460495"/>
    <w:rsid w:val="2A9E60D9"/>
    <w:rsid w:val="2AA07DD6"/>
    <w:rsid w:val="2AAA79B8"/>
    <w:rsid w:val="2AC43F9F"/>
    <w:rsid w:val="2B0738F0"/>
    <w:rsid w:val="2B0E0F65"/>
    <w:rsid w:val="2B510311"/>
    <w:rsid w:val="2B7D13CC"/>
    <w:rsid w:val="2BA13AB1"/>
    <w:rsid w:val="2BD94617"/>
    <w:rsid w:val="2BDD4799"/>
    <w:rsid w:val="2C4C4186"/>
    <w:rsid w:val="2C4C5BF6"/>
    <w:rsid w:val="2CE04532"/>
    <w:rsid w:val="2DD73448"/>
    <w:rsid w:val="2DE70634"/>
    <w:rsid w:val="2E225A24"/>
    <w:rsid w:val="2EAD6133"/>
    <w:rsid w:val="2EB259EE"/>
    <w:rsid w:val="2ED237F3"/>
    <w:rsid w:val="2F4558F1"/>
    <w:rsid w:val="2F784790"/>
    <w:rsid w:val="2F7B36A8"/>
    <w:rsid w:val="2FAA5E1A"/>
    <w:rsid w:val="2FAB4623"/>
    <w:rsid w:val="2FDF6214"/>
    <w:rsid w:val="300A43D0"/>
    <w:rsid w:val="30264A9E"/>
    <w:rsid w:val="302E6167"/>
    <w:rsid w:val="3095526B"/>
    <w:rsid w:val="30FD79BE"/>
    <w:rsid w:val="3100405D"/>
    <w:rsid w:val="315D1164"/>
    <w:rsid w:val="317D6B35"/>
    <w:rsid w:val="31B62FDB"/>
    <w:rsid w:val="31FF4B7E"/>
    <w:rsid w:val="32983099"/>
    <w:rsid w:val="32AA5592"/>
    <w:rsid w:val="32E75DA8"/>
    <w:rsid w:val="32F653C3"/>
    <w:rsid w:val="33052E5A"/>
    <w:rsid w:val="332610BF"/>
    <w:rsid w:val="337C27BA"/>
    <w:rsid w:val="3386250E"/>
    <w:rsid w:val="33B44D6A"/>
    <w:rsid w:val="33E75242"/>
    <w:rsid w:val="341101EA"/>
    <w:rsid w:val="34217FBA"/>
    <w:rsid w:val="344A237C"/>
    <w:rsid w:val="34717DC6"/>
    <w:rsid w:val="351F4211"/>
    <w:rsid w:val="35262532"/>
    <w:rsid w:val="353A08BE"/>
    <w:rsid w:val="357039DD"/>
    <w:rsid w:val="35906EE4"/>
    <w:rsid w:val="35E46B51"/>
    <w:rsid w:val="36487758"/>
    <w:rsid w:val="364936C7"/>
    <w:rsid w:val="36582751"/>
    <w:rsid w:val="36645310"/>
    <w:rsid w:val="368D5D06"/>
    <w:rsid w:val="3722586F"/>
    <w:rsid w:val="378C59A0"/>
    <w:rsid w:val="37A15AB9"/>
    <w:rsid w:val="37D1690E"/>
    <w:rsid w:val="37E474EC"/>
    <w:rsid w:val="37E93735"/>
    <w:rsid w:val="383652ED"/>
    <w:rsid w:val="38AC792F"/>
    <w:rsid w:val="38BB1341"/>
    <w:rsid w:val="3909782E"/>
    <w:rsid w:val="392642AC"/>
    <w:rsid w:val="397059EB"/>
    <w:rsid w:val="398028B7"/>
    <w:rsid w:val="39AD0862"/>
    <w:rsid w:val="3A074B96"/>
    <w:rsid w:val="3A19437E"/>
    <w:rsid w:val="3A3A0854"/>
    <w:rsid w:val="3A4A6214"/>
    <w:rsid w:val="3A6A57DE"/>
    <w:rsid w:val="3AD71F6B"/>
    <w:rsid w:val="3B1D50E8"/>
    <w:rsid w:val="3B82605A"/>
    <w:rsid w:val="3BC4115E"/>
    <w:rsid w:val="3BCD4D79"/>
    <w:rsid w:val="3BE85FC8"/>
    <w:rsid w:val="3BFF77BC"/>
    <w:rsid w:val="3C1A6E6A"/>
    <w:rsid w:val="3C2016F2"/>
    <w:rsid w:val="3C224EAA"/>
    <w:rsid w:val="3C350589"/>
    <w:rsid w:val="3C456A68"/>
    <w:rsid w:val="3C4F16C1"/>
    <w:rsid w:val="3C9A2A62"/>
    <w:rsid w:val="3CD14649"/>
    <w:rsid w:val="3D177553"/>
    <w:rsid w:val="3D193DF3"/>
    <w:rsid w:val="3D246E5A"/>
    <w:rsid w:val="3D4A1496"/>
    <w:rsid w:val="3D4E2B83"/>
    <w:rsid w:val="3D870953"/>
    <w:rsid w:val="3DE976C2"/>
    <w:rsid w:val="3E3976D3"/>
    <w:rsid w:val="3E7C330F"/>
    <w:rsid w:val="3F0644E9"/>
    <w:rsid w:val="3F24498F"/>
    <w:rsid w:val="3F4F005D"/>
    <w:rsid w:val="3F8D1F32"/>
    <w:rsid w:val="3F970FDB"/>
    <w:rsid w:val="402E54E8"/>
    <w:rsid w:val="403B29C9"/>
    <w:rsid w:val="403B53C3"/>
    <w:rsid w:val="407A57A2"/>
    <w:rsid w:val="40814873"/>
    <w:rsid w:val="40A02AED"/>
    <w:rsid w:val="40D506EB"/>
    <w:rsid w:val="415347E5"/>
    <w:rsid w:val="41AA6FCA"/>
    <w:rsid w:val="421604DA"/>
    <w:rsid w:val="424A226E"/>
    <w:rsid w:val="427E642B"/>
    <w:rsid w:val="42A551B5"/>
    <w:rsid w:val="42AA7ACD"/>
    <w:rsid w:val="42C52579"/>
    <w:rsid w:val="43124C8D"/>
    <w:rsid w:val="433D0BFC"/>
    <w:rsid w:val="433F610A"/>
    <w:rsid w:val="437E013B"/>
    <w:rsid w:val="43F4135D"/>
    <w:rsid w:val="441E042F"/>
    <w:rsid w:val="443950F3"/>
    <w:rsid w:val="445E0466"/>
    <w:rsid w:val="447A4BFE"/>
    <w:rsid w:val="44B67F44"/>
    <w:rsid w:val="44C70D28"/>
    <w:rsid w:val="44CA6E76"/>
    <w:rsid w:val="44F6488D"/>
    <w:rsid w:val="45044A12"/>
    <w:rsid w:val="45282A9A"/>
    <w:rsid w:val="453C14B9"/>
    <w:rsid w:val="4589448D"/>
    <w:rsid w:val="45FC5A69"/>
    <w:rsid w:val="460556A8"/>
    <w:rsid w:val="461E4FA6"/>
    <w:rsid w:val="463A5899"/>
    <w:rsid w:val="4654512D"/>
    <w:rsid w:val="46606872"/>
    <w:rsid w:val="477A3C84"/>
    <w:rsid w:val="47F31436"/>
    <w:rsid w:val="48083C5D"/>
    <w:rsid w:val="48246406"/>
    <w:rsid w:val="48376C36"/>
    <w:rsid w:val="48934611"/>
    <w:rsid w:val="48F542D2"/>
    <w:rsid w:val="48FD06CC"/>
    <w:rsid w:val="498D2E01"/>
    <w:rsid w:val="498D3DBD"/>
    <w:rsid w:val="49D815D6"/>
    <w:rsid w:val="49D816F4"/>
    <w:rsid w:val="49FD72F4"/>
    <w:rsid w:val="4A38213A"/>
    <w:rsid w:val="4A400586"/>
    <w:rsid w:val="4A7A7FC5"/>
    <w:rsid w:val="4A7B711D"/>
    <w:rsid w:val="4A84675D"/>
    <w:rsid w:val="4AF63C83"/>
    <w:rsid w:val="4B7C1338"/>
    <w:rsid w:val="4B975530"/>
    <w:rsid w:val="4BAA4032"/>
    <w:rsid w:val="4BB7755B"/>
    <w:rsid w:val="4C50744F"/>
    <w:rsid w:val="4C572817"/>
    <w:rsid w:val="4C6369A7"/>
    <w:rsid w:val="4C644BBF"/>
    <w:rsid w:val="4C653585"/>
    <w:rsid w:val="4C7D636D"/>
    <w:rsid w:val="4CC82FE7"/>
    <w:rsid w:val="4CCB0ABF"/>
    <w:rsid w:val="4CFC55B3"/>
    <w:rsid w:val="4D1E6E23"/>
    <w:rsid w:val="4D4D1D0E"/>
    <w:rsid w:val="4D5A1E97"/>
    <w:rsid w:val="4DAA2A9B"/>
    <w:rsid w:val="4DC73899"/>
    <w:rsid w:val="4DD7573E"/>
    <w:rsid w:val="4E1858BC"/>
    <w:rsid w:val="4E214745"/>
    <w:rsid w:val="4E876A80"/>
    <w:rsid w:val="4E881A6F"/>
    <w:rsid w:val="4EB46112"/>
    <w:rsid w:val="4ECC4E51"/>
    <w:rsid w:val="4F430F16"/>
    <w:rsid w:val="4FA844A2"/>
    <w:rsid w:val="4FC42854"/>
    <w:rsid w:val="4FE76145"/>
    <w:rsid w:val="4FF92635"/>
    <w:rsid w:val="503C1ED5"/>
    <w:rsid w:val="503C1FA1"/>
    <w:rsid w:val="505E14C8"/>
    <w:rsid w:val="51120212"/>
    <w:rsid w:val="518F35F9"/>
    <w:rsid w:val="519227B6"/>
    <w:rsid w:val="51A646BE"/>
    <w:rsid w:val="51A86CBD"/>
    <w:rsid w:val="51C47D1F"/>
    <w:rsid w:val="51D10C5E"/>
    <w:rsid w:val="52273196"/>
    <w:rsid w:val="528D53DC"/>
    <w:rsid w:val="52A54636"/>
    <w:rsid w:val="52D20B31"/>
    <w:rsid w:val="532F5A3F"/>
    <w:rsid w:val="5346574A"/>
    <w:rsid w:val="53A84A9F"/>
    <w:rsid w:val="5457477E"/>
    <w:rsid w:val="545A5363"/>
    <w:rsid w:val="548F58A2"/>
    <w:rsid w:val="549C3CF7"/>
    <w:rsid w:val="54A6767D"/>
    <w:rsid w:val="54C1659F"/>
    <w:rsid w:val="54CC7DCA"/>
    <w:rsid w:val="54F6543C"/>
    <w:rsid w:val="55563B6B"/>
    <w:rsid w:val="55754396"/>
    <w:rsid w:val="557645CB"/>
    <w:rsid w:val="568A7FA4"/>
    <w:rsid w:val="56952F1F"/>
    <w:rsid w:val="56E13AAA"/>
    <w:rsid w:val="570D2CE4"/>
    <w:rsid w:val="572D6D7C"/>
    <w:rsid w:val="57607C5D"/>
    <w:rsid w:val="576870CE"/>
    <w:rsid w:val="579025E4"/>
    <w:rsid w:val="57BE7879"/>
    <w:rsid w:val="58EE43A5"/>
    <w:rsid w:val="59324A93"/>
    <w:rsid w:val="598744A3"/>
    <w:rsid w:val="598B4ABD"/>
    <w:rsid w:val="59D97F5F"/>
    <w:rsid w:val="5A13072C"/>
    <w:rsid w:val="5A1A6B11"/>
    <w:rsid w:val="5A525FC1"/>
    <w:rsid w:val="5A5B1A93"/>
    <w:rsid w:val="5A6123EF"/>
    <w:rsid w:val="5AE10DCB"/>
    <w:rsid w:val="5B3E3B02"/>
    <w:rsid w:val="5B487FEA"/>
    <w:rsid w:val="5B524538"/>
    <w:rsid w:val="5BB85E2E"/>
    <w:rsid w:val="5BF86102"/>
    <w:rsid w:val="5C251B6A"/>
    <w:rsid w:val="5C4417DA"/>
    <w:rsid w:val="5C5872CD"/>
    <w:rsid w:val="5C723D2D"/>
    <w:rsid w:val="5D2E30EC"/>
    <w:rsid w:val="5D3D5B2F"/>
    <w:rsid w:val="5D5501F2"/>
    <w:rsid w:val="5DB0276A"/>
    <w:rsid w:val="5E671789"/>
    <w:rsid w:val="5E6A2D60"/>
    <w:rsid w:val="5E7D69ED"/>
    <w:rsid w:val="5E9B6F9B"/>
    <w:rsid w:val="5F417E0E"/>
    <w:rsid w:val="5F4A55C6"/>
    <w:rsid w:val="60022F17"/>
    <w:rsid w:val="602316C2"/>
    <w:rsid w:val="603713E2"/>
    <w:rsid w:val="603B2CE8"/>
    <w:rsid w:val="60A26AC3"/>
    <w:rsid w:val="60E5198E"/>
    <w:rsid w:val="610E5299"/>
    <w:rsid w:val="615F2167"/>
    <w:rsid w:val="616048EE"/>
    <w:rsid w:val="61653414"/>
    <w:rsid w:val="617D2724"/>
    <w:rsid w:val="61DE1F1F"/>
    <w:rsid w:val="620058CC"/>
    <w:rsid w:val="624D069F"/>
    <w:rsid w:val="62B6094A"/>
    <w:rsid w:val="635555EB"/>
    <w:rsid w:val="63E9343E"/>
    <w:rsid w:val="63FA66D5"/>
    <w:rsid w:val="63FC1FB2"/>
    <w:rsid w:val="63FF12C6"/>
    <w:rsid w:val="640F43C5"/>
    <w:rsid w:val="64341720"/>
    <w:rsid w:val="64512DAE"/>
    <w:rsid w:val="646A695C"/>
    <w:rsid w:val="64735CFC"/>
    <w:rsid w:val="649A7664"/>
    <w:rsid w:val="64D833A6"/>
    <w:rsid w:val="64ED57E5"/>
    <w:rsid w:val="6521305C"/>
    <w:rsid w:val="6535383A"/>
    <w:rsid w:val="65753498"/>
    <w:rsid w:val="65884515"/>
    <w:rsid w:val="65A22487"/>
    <w:rsid w:val="65EF7DFF"/>
    <w:rsid w:val="669022B7"/>
    <w:rsid w:val="66940A39"/>
    <w:rsid w:val="66CA5E5F"/>
    <w:rsid w:val="66ED62BD"/>
    <w:rsid w:val="67164009"/>
    <w:rsid w:val="671A520A"/>
    <w:rsid w:val="673A2970"/>
    <w:rsid w:val="67620408"/>
    <w:rsid w:val="678F3A8F"/>
    <w:rsid w:val="67A01BAC"/>
    <w:rsid w:val="67B32B67"/>
    <w:rsid w:val="67CE4F0A"/>
    <w:rsid w:val="67E7052E"/>
    <w:rsid w:val="67F65281"/>
    <w:rsid w:val="680509F9"/>
    <w:rsid w:val="680A2685"/>
    <w:rsid w:val="681875C8"/>
    <w:rsid w:val="682A15E7"/>
    <w:rsid w:val="68486434"/>
    <w:rsid w:val="68E7020B"/>
    <w:rsid w:val="69467A9E"/>
    <w:rsid w:val="6959078C"/>
    <w:rsid w:val="69611F8C"/>
    <w:rsid w:val="69797C2C"/>
    <w:rsid w:val="697B2AE1"/>
    <w:rsid w:val="698014F4"/>
    <w:rsid w:val="69AF6A95"/>
    <w:rsid w:val="69D05E78"/>
    <w:rsid w:val="6A112FF4"/>
    <w:rsid w:val="6ADA4924"/>
    <w:rsid w:val="6AF92ED3"/>
    <w:rsid w:val="6B407F5A"/>
    <w:rsid w:val="6B5A41AF"/>
    <w:rsid w:val="6B6A7091"/>
    <w:rsid w:val="6BD92C40"/>
    <w:rsid w:val="6C415AEC"/>
    <w:rsid w:val="6C477A25"/>
    <w:rsid w:val="6CDA05DD"/>
    <w:rsid w:val="6CF27CB7"/>
    <w:rsid w:val="6CFF4FC3"/>
    <w:rsid w:val="6D2B1D59"/>
    <w:rsid w:val="6D442267"/>
    <w:rsid w:val="6E361F05"/>
    <w:rsid w:val="6E363CDF"/>
    <w:rsid w:val="6E527A2D"/>
    <w:rsid w:val="6E7B5445"/>
    <w:rsid w:val="6E847F11"/>
    <w:rsid w:val="6ECA5A5F"/>
    <w:rsid w:val="6EFC3550"/>
    <w:rsid w:val="6F507371"/>
    <w:rsid w:val="6F584596"/>
    <w:rsid w:val="6F886E71"/>
    <w:rsid w:val="6FF27EB0"/>
    <w:rsid w:val="70853BCC"/>
    <w:rsid w:val="70B4157B"/>
    <w:rsid w:val="70D76741"/>
    <w:rsid w:val="710A3270"/>
    <w:rsid w:val="71306252"/>
    <w:rsid w:val="716621C1"/>
    <w:rsid w:val="71C5773E"/>
    <w:rsid w:val="71FC4C7C"/>
    <w:rsid w:val="72251DA4"/>
    <w:rsid w:val="728114C6"/>
    <w:rsid w:val="729B764A"/>
    <w:rsid w:val="72B375F5"/>
    <w:rsid w:val="72C740ED"/>
    <w:rsid w:val="72E673CF"/>
    <w:rsid w:val="72EB533D"/>
    <w:rsid w:val="736D44EF"/>
    <w:rsid w:val="73C97E9E"/>
    <w:rsid w:val="73D40DA2"/>
    <w:rsid w:val="74465350"/>
    <w:rsid w:val="746B647F"/>
    <w:rsid w:val="74B53285"/>
    <w:rsid w:val="74B746E8"/>
    <w:rsid w:val="753022BE"/>
    <w:rsid w:val="75530645"/>
    <w:rsid w:val="755F2C4C"/>
    <w:rsid w:val="7594489B"/>
    <w:rsid w:val="7595501B"/>
    <w:rsid w:val="75DF5DB2"/>
    <w:rsid w:val="762E5891"/>
    <w:rsid w:val="76A67DFC"/>
    <w:rsid w:val="76F03175"/>
    <w:rsid w:val="770850B6"/>
    <w:rsid w:val="77247AA0"/>
    <w:rsid w:val="772C60B7"/>
    <w:rsid w:val="774515AC"/>
    <w:rsid w:val="776B46B2"/>
    <w:rsid w:val="77817EAC"/>
    <w:rsid w:val="77C80872"/>
    <w:rsid w:val="77FD22D0"/>
    <w:rsid w:val="78A11F78"/>
    <w:rsid w:val="78AF7669"/>
    <w:rsid w:val="78D15EAD"/>
    <w:rsid w:val="78FE6E8B"/>
    <w:rsid w:val="79004FC6"/>
    <w:rsid w:val="79CA5589"/>
    <w:rsid w:val="79F729CB"/>
    <w:rsid w:val="7A815634"/>
    <w:rsid w:val="7A9642E8"/>
    <w:rsid w:val="7A996458"/>
    <w:rsid w:val="7AC42EFD"/>
    <w:rsid w:val="7B2C1EB5"/>
    <w:rsid w:val="7B550266"/>
    <w:rsid w:val="7BC0506C"/>
    <w:rsid w:val="7BF84150"/>
    <w:rsid w:val="7C1643B1"/>
    <w:rsid w:val="7C447A03"/>
    <w:rsid w:val="7C950DB7"/>
    <w:rsid w:val="7CC623BD"/>
    <w:rsid w:val="7CE048DE"/>
    <w:rsid w:val="7D013F30"/>
    <w:rsid w:val="7D207A95"/>
    <w:rsid w:val="7D2F5F4B"/>
    <w:rsid w:val="7D487044"/>
    <w:rsid w:val="7DA245E9"/>
    <w:rsid w:val="7DB54C08"/>
    <w:rsid w:val="7E1E5DFA"/>
    <w:rsid w:val="7E45572A"/>
    <w:rsid w:val="7E57165F"/>
    <w:rsid w:val="7EA617D8"/>
    <w:rsid w:val="7EA96A04"/>
    <w:rsid w:val="7EF24838"/>
    <w:rsid w:val="7F084B75"/>
    <w:rsid w:val="7F1262E1"/>
    <w:rsid w:val="7FA15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1"/>
    <w:next w:val="1"/>
    <w:link w:val="72"/>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73"/>
    <w:qFormat/>
    <w:uiPriority w:val="0"/>
    <w:pPr>
      <w:keepNext/>
      <w:keepLines/>
      <w:tabs>
        <w:tab w:val="left" w:pos="864"/>
        <w:tab w:val="left" w:pos="2071"/>
      </w:tabs>
      <w:spacing w:before="280" w:after="290" w:line="372" w:lineRule="auto"/>
      <w:ind w:left="1884" w:hanging="528"/>
      <w:outlineLvl w:val="3"/>
    </w:pPr>
    <w:rPr>
      <w:rFonts w:ascii="Arial" w:hAnsi="Arial" w:eastAsia="黑体"/>
      <w:b/>
      <w:sz w:val="28"/>
    </w:rPr>
  </w:style>
  <w:style w:type="paragraph" w:styleId="6">
    <w:name w:val="heading 5"/>
    <w:basedOn w:val="1"/>
    <w:next w:val="1"/>
    <w:link w:val="74"/>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5">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2"/>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6"/>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0"/>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9"/>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List 2"/>
    <w:basedOn w:val="17"/>
    <w:unhideWhenUsed/>
    <w:qFormat/>
    <w:uiPriority w:val="0"/>
    <w:pPr>
      <w:ind w:left="100" w:leftChars="200"/>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7"/>
    <w:unhideWhenUsed/>
    <w:qFormat/>
    <w:uiPriority w:val="0"/>
    <w:rPr>
      <w:sz w:val="18"/>
      <w:szCs w:val="18"/>
    </w:rPr>
  </w:style>
  <w:style w:type="paragraph" w:styleId="38">
    <w:name w:val="footer"/>
    <w:basedOn w:val="1"/>
    <w:link w:val="113"/>
    <w:qFormat/>
    <w:uiPriority w:val="99"/>
    <w:pPr>
      <w:tabs>
        <w:tab w:val="center" w:pos="4153"/>
        <w:tab w:val="right" w:pos="8306"/>
      </w:tabs>
      <w:snapToGrid w:val="0"/>
      <w:jc w:val="left"/>
    </w:pPr>
    <w:rPr>
      <w:sz w:val="18"/>
      <w:szCs w:val="18"/>
    </w:rPr>
  </w:style>
  <w:style w:type="paragraph" w:styleId="39">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50"/>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Strong"/>
    <w:basedOn w:val="56"/>
    <w:qFormat/>
    <w:uiPriority w:val="22"/>
    <w:rPr>
      <w:b/>
    </w:rPr>
  </w:style>
  <w:style w:type="character" w:styleId="58">
    <w:name w:val="endnote reference"/>
    <w:basedOn w:val="56"/>
    <w:qFormat/>
    <w:uiPriority w:val="0"/>
    <w:rPr>
      <w:vertAlign w:val="superscript"/>
    </w:rPr>
  </w:style>
  <w:style w:type="character" w:styleId="59">
    <w:name w:val="page number"/>
    <w:basedOn w:val="56"/>
    <w:qFormat/>
    <w:uiPriority w:val="0"/>
  </w:style>
  <w:style w:type="character" w:styleId="60">
    <w:name w:val="FollowedHyperlink"/>
    <w:basedOn w:val="56"/>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spacing w:val="0"/>
      <w:w w:val="100"/>
      <w:szCs w:val="21"/>
      <w:u w:val="single"/>
      <w:lang w:val="en-US" w:eastAsia="zh-CN"/>
    </w:rPr>
  </w:style>
  <w:style w:type="character" w:styleId="63">
    <w:name w:val="annotation reference"/>
    <w:qFormat/>
    <w:uiPriority w:val="0"/>
    <w:rPr>
      <w:sz w:val="16"/>
    </w:rPr>
  </w:style>
  <w:style w:type="character" w:styleId="64">
    <w:name w:val="footnote reference"/>
    <w:basedOn w:val="56"/>
    <w:qFormat/>
    <w:uiPriority w:val="0"/>
    <w:rPr>
      <w:vertAlign w:val="superscript"/>
    </w:rPr>
  </w:style>
  <w:style w:type="table" w:styleId="66">
    <w:name w:val="Table Grid"/>
    <w:basedOn w:val="6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7">
    <w:name w:val="Balloon Text Char"/>
    <w:basedOn w:val="56"/>
    <w:link w:val="37"/>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Document Map Char"/>
    <w:basedOn w:val="56"/>
    <w:link w:val="25"/>
    <w:qFormat/>
    <w:uiPriority w:val="0"/>
    <w:rPr>
      <w:rFonts w:ascii="宋体"/>
      <w:kern w:val="2"/>
      <w:sz w:val="18"/>
      <w:szCs w:val="18"/>
    </w:rPr>
  </w:style>
  <w:style w:type="character" w:customStyle="1" w:styleId="70">
    <w:name w:val="Heading 1 Char"/>
    <w:basedOn w:val="56"/>
    <w:link w:val="2"/>
    <w:qFormat/>
    <w:uiPriority w:val="0"/>
    <w:rPr>
      <w:b/>
      <w:bCs/>
      <w:kern w:val="44"/>
      <w:sz w:val="44"/>
      <w:szCs w:val="44"/>
    </w:rPr>
  </w:style>
  <w:style w:type="character" w:customStyle="1" w:styleId="71">
    <w:name w:val="Heading 2 Char"/>
    <w:basedOn w:val="56"/>
    <w:link w:val="3"/>
    <w:qFormat/>
    <w:uiPriority w:val="0"/>
    <w:rPr>
      <w:rFonts w:ascii="Arial" w:hAnsi="Arial" w:eastAsia="MS Mincho"/>
      <w:sz w:val="32"/>
      <w:szCs w:val="32"/>
      <w:lang w:val="en-GB"/>
    </w:rPr>
  </w:style>
  <w:style w:type="character" w:customStyle="1" w:styleId="72">
    <w:name w:val="Heading 3 Char"/>
    <w:basedOn w:val="56"/>
    <w:link w:val="4"/>
    <w:qFormat/>
    <w:uiPriority w:val="0"/>
    <w:rPr>
      <w:b/>
      <w:bCs/>
      <w:kern w:val="2"/>
      <w:sz w:val="32"/>
      <w:szCs w:val="32"/>
    </w:rPr>
  </w:style>
  <w:style w:type="character" w:customStyle="1" w:styleId="73">
    <w:name w:val="Heading 4 Char"/>
    <w:basedOn w:val="56"/>
    <w:link w:val="5"/>
    <w:qFormat/>
    <w:uiPriority w:val="0"/>
    <w:rPr>
      <w:rFonts w:ascii="Arial" w:hAnsi="Arial" w:eastAsia="黑体"/>
      <w:b/>
      <w:kern w:val="2"/>
      <w:sz w:val="28"/>
      <w:szCs w:val="24"/>
    </w:rPr>
  </w:style>
  <w:style w:type="character" w:customStyle="1" w:styleId="74">
    <w:name w:val="Heading 5 Char"/>
    <w:basedOn w:val="56"/>
    <w:link w:val="6"/>
    <w:qFormat/>
    <w:uiPriority w:val="0"/>
    <w:rPr>
      <w:b/>
      <w:kern w:val="2"/>
      <w:sz w:val="28"/>
      <w:szCs w:val="24"/>
    </w:rPr>
  </w:style>
  <w:style w:type="character" w:customStyle="1" w:styleId="75">
    <w:name w:val="Heading 6 Char"/>
    <w:basedOn w:val="56"/>
    <w:link w:val="7"/>
    <w:qFormat/>
    <w:uiPriority w:val="0"/>
    <w:rPr>
      <w:rFonts w:ascii="Arial" w:hAnsi="Arial" w:eastAsia="黑体"/>
      <w:b/>
      <w:kern w:val="2"/>
      <w:sz w:val="24"/>
      <w:szCs w:val="24"/>
    </w:rPr>
  </w:style>
  <w:style w:type="character" w:customStyle="1" w:styleId="76">
    <w:name w:val="Heading 7 Char"/>
    <w:basedOn w:val="56"/>
    <w:link w:val="8"/>
    <w:qFormat/>
    <w:uiPriority w:val="0"/>
    <w:rPr>
      <w:b/>
      <w:kern w:val="2"/>
      <w:sz w:val="24"/>
      <w:szCs w:val="24"/>
    </w:rPr>
  </w:style>
  <w:style w:type="character" w:customStyle="1" w:styleId="77">
    <w:name w:val="Heading 8 Char"/>
    <w:basedOn w:val="56"/>
    <w:link w:val="9"/>
    <w:qFormat/>
    <w:uiPriority w:val="0"/>
    <w:rPr>
      <w:rFonts w:ascii="Arial" w:hAnsi="Arial" w:eastAsia="黑体"/>
      <w:kern w:val="2"/>
      <w:sz w:val="24"/>
      <w:szCs w:val="24"/>
    </w:rPr>
  </w:style>
  <w:style w:type="character" w:customStyle="1" w:styleId="78">
    <w:name w:val="Heading 9 Char"/>
    <w:basedOn w:val="56"/>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Caption Char"/>
    <w:link w:val="23"/>
    <w:qFormat/>
    <w:uiPriority w:val="99"/>
    <w:rPr>
      <w:rFonts w:ascii="Arial" w:hAnsi="Arial" w:eastAsia="黑体" w:cs="Arial"/>
      <w:kern w:val="2"/>
    </w:rPr>
  </w:style>
  <w:style w:type="character" w:customStyle="1" w:styleId="91">
    <w:name w:val="标题 3 Char Char"/>
    <w:basedOn w:val="56"/>
    <w:qFormat/>
    <w:uiPriority w:val="0"/>
    <w:rPr>
      <w:b/>
      <w:bCs/>
      <w:kern w:val="2"/>
      <w:sz w:val="32"/>
      <w:szCs w:val="32"/>
    </w:rPr>
  </w:style>
  <w:style w:type="character" w:customStyle="1" w:styleId="92">
    <w:name w:val="Comment Subject Char"/>
    <w:basedOn w:val="93"/>
    <w:link w:val="12"/>
    <w:semiHidden/>
    <w:qFormat/>
    <w:uiPriority w:val="0"/>
    <w:rPr>
      <w:rFonts w:ascii="Arial" w:hAnsi="Arial" w:eastAsia="MS Mincho"/>
      <w:b/>
      <w:bCs/>
      <w:lang w:val="en-GB" w:eastAsia="en-GB"/>
    </w:rPr>
  </w:style>
  <w:style w:type="character" w:customStyle="1" w:styleId="93">
    <w:name w:val="批注文字 Char"/>
    <w:basedOn w:val="56"/>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7"/>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6"/>
    <w:link w:val="44"/>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8"/>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6"/>
    <w:qFormat/>
    <w:uiPriority w:val="0"/>
    <w:rPr>
      <w:b/>
      <w:bCs/>
      <w:kern w:val="44"/>
      <w:sz w:val="44"/>
      <w:szCs w:val="44"/>
    </w:rPr>
  </w:style>
  <w:style w:type="character" w:customStyle="1" w:styleId="111">
    <w:name w:val="Doc-title Char Char"/>
    <w:basedOn w:val="56"/>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Footer Char"/>
    <w:link w:val="38"/>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4"/>
    <w:next w:val="44"/>
    <w:link w:val="115"/>
    <w:qFormat/>
    <w:uiPriority w:val="0"/>
  </w:style>
  <w:style w:type="character" w:customStyle="1" w:styleId="117">
    <w:name w:val="Plain Text Char"/>
    <w:basedOn w:val="56"/>
    <w:link w:val="32"/>
    <w:qFormat/>
    <w:uiPriority w:val="99"/>
    <w:rPr>
      <w:rFonts w:ascii="Consolas" w:hAnsi="Consolas" w:eastAsia="Calibri"/>
      <w:sz w:val="21"/>
      <w:szCs w:val="21"/>
      <w:lang w:eastAsia="en-US"/>
    </w:rPr>
  </w:style>
  <w:style w:type="character" w:customStyle="1" w:styleId="118">
    <w:name w:val="首示例 Char Char"/>
    <w:basedOn w:val="56"/>
    <w:link w:val="119"/>
    <w:qFormat/>
    <w:uiPriority w:val="0"/>
    <w:rPr>
      <w:rFonts w:ascii="宋体" w:hAnsi="宋体"/>
      <w:kern w:val="2"/>
      <w:sz w:val="18"/>
      <w:szCs w:val="18"/>
    </w:rPr>
  </w:style>
  <w:style w:type="paragraph" w:customStyle="1" w:styleId="119">
    <w:name w:val="首示例"/>
    <w:next w:val="44"/>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6"/>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Body Text Char"/>
    <w:basedOn w:val="56"/>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Header Char"/>
    <w:link w:val="39"/>
    <w:qFormat/>
    <w:uiPriority w:val="99"/>
    <w:rPr>
      <w:kern w:val="2"/>
      <w:sz w:val="18"/>
      <w:szCs w:val="18"/>
    </w:rPr>
  </w:style>
  <w:style w:type="character" w:customStyle="1" w:styleId="131">
    <w:name w:val="Doc-text2 Char Char"/>
    <w:basedOn w:val="56"/>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4"/>
    <w:qFormat/>
    <w:uiPriority w:val="0"/>
    <w:pPr>
      <w:outlineLvl w:val="4"/>
    </w:pPr>
  </w:style>
  <w:style w:type="paragraph" w:customStyle="1" w:styleId="144">
    <w:name w:val="二级条标题"/>
    <w:basedOn w:val="145"/>
    <w:next w:val="44"/>
    <w:qFormat/>
    <w:uiPriority w:val="0"/>
    <w:pPr>
      <w:spacing w:beforeLines="0" w:afterLines="0"/>
      <w:outlineLvl w:val="3"/>
    </w:pPr>
  </w:style>
  <w:style w:type="paragraph" w:customStyle="1" w:styleId="145">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4"/>
    <w:qFormat/>
    <w:uiPriority w:val="0"/>
    <w:pPr>
      <w:outlineLvl w:val="5"/>
    </w:pPr>
  </w:style>
  <w:style w:type="character" w:customStyle="1" w:styleId="150">
    <w:name w:val="Footnote Text Char"/>
    <w:basedOn w:val="56"/>
    <w:link w:val="45"/>
    <w:qFormat/>
    <w:uiPriority w:val="0"/>
    <w:rPr>
      <w:rFonts w:ascii="宋体"/>
      <w:kern w:val="2"/>
      <w:sz w:val="18"/>
      <w:szCs w:val="18"/>
    </w:rPr>
  </w:style>
  <w:style w:type="paragraph" w:customStyle="1" w:styleId="151">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4"/>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4"/>
    <w:qFormat/>
    <w:uiPriority w:val="0"/>
    <w:pPr>
      <w:tabs>
        <w:tab w:val="left" w:pos="360"/>
        <w:tab w:val="left" w:pos="864"/>
        <w:tab w:val="left" w:pos="1008"/>
      </w:tabs>
      <w:outlineLvl w:val="5"/>
    </w:pPr>
  </w:style>
  <w:style w:type="paragraph" w:customStyle="1" w:styleId="157">
    <w:name w:val="附录三级条标题"/>
    <w:basedOn w:val="158"/>
    <w:next w:val="44"/>
    <w:qFormat/>
    <w:uiPriority w:val="0"/>
    <w:pPr>
      <w:tabs>
        <w:tab w:val="left" w:pos="360"/>
        <w:tab w:val="left" w:pos="864"/>
        <w:tab w:val="left" w:pos="1008"/>
      </w:tabs>
      <w:ind w:left="1008" w:hanging="1008"/>
      <w:outlineLvl w:val="4"/>
    </w:pPr>
  </w:style>
  <w:style w:type="paragraph" w:customStyle="1" w:styleId="158">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6"/>
    <w:semiHidden/>
    <w:qFormat/>
    <w:uiPriority w:val="0"/>
    <w:rPr>
      <w:rFonts w:ascii="宋体" w:hAnsi="Courier New" w:cs="Courier New"/>
      <w:kern w:val="2"/>
      <w:sz w:val="21"/>
      <w:szCs w:val="21"/>
    </w:rPr>
  </w:style>
  <w:style w:type="paragraph" w:customStyle="1" w:styleId="163">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Comment Text Char"/>
    <w:basedOn w:val="56"/>
    <w:link w:val="13"/>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6"/>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Endnote Text Char"/>
    <w:basedOn w:val="56"/>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4"/>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lang w:val="en-GB"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List Paragraph Char"/>
    <w:link w:val="68"/>
    <w:qFormat/>
    <w:locked/>
    <w:uiPriority w:val="34"/>
    <w:rPr>
      <w:kern w:val="2"/>
      <w:sz w:val="21"/>
      <w:szCs w:val="24"/>
    </w:rPr>
  </w:style>
  <w:style w:type="character" w:customStyle="1" w:styleId="274">
    <w:name w:val="B3 Char"/>
    <w:basedOn w:val="56"/>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D393D0-95F7-4589-B49D-5A22A2E47E20}">
  <ds:schemaRefs/>
</ds:datastoreItem>
</file>

<file path=docProps/app.xml><?xml version="1.0" encoding="utf-8"?>
<Properties xmlns="http://schemas.openxmlformats.org/officeDocument/2006/extended-properties" xmlns:vt="http://schemas.openxmlformats.org/officeDocument/2006/docPropsVTypes">
  <Template>Normal</Template>
  <Pages>7</Pages>
  <Words>1598</Words>
  <Characters>9114</Characters>
  <Lines>75</Lines>
  <Paragraphs>21</Paragraphs>
  <TotalTime>3</TotalTime>
  <ScaleCrop>false</ScaleCrop>
  <LinksUpToDate>false</LinksUpToDate>
  <CharactersWithSpaces>10691</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2018-03-28T14:35:00Z</dcterms:created>
  <dc:creator>10033860</dc:creator>
  <cp:lastModifiedBy>ZTE(Yuan)</cp:lastModifiedBy>
  <cp:lastPrinted>2113-01-01T00:00:00Z</cp:lastPrinted>
  <dcterms:modified xsi:type="dcterms:W3CDTF">2018-09-27T12:58:59Z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